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2D" w:rsidRDefault="001F682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F682D" w:rsidRDefault="001F682D">
      <w:pPr>
        <w:pStyle w:val="ConsPlusNormal"/>
        <w:jc w:val="both"/>
        <w:outlineLvl w:val="0"/>
      </w:pPr>
    </w:p>
    <w:p w:rsidR="001F682D" w:rsidRDefault="001F682D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:rsidR="001F682D" w:rsidRDefault="001F682D">
      <w:pPr>
        <w:pStyle w:val="ConsPlusTitle"/>
        <w:jc w:val="center"/>
      </w:pPr>
    </w:p>
    <w:p w:rsidR="001F682D" w:rsidRDefault="001F682D">
      <w:pPr>
        <w:pStyle w:val="ConsPlusTitle"/>
        <w:jc w:val="center"/>
      </w:pPr>
      <w:r>
        <w:t>РЕШЕНИЕ ПРАВЛЕНИЯ</w:t>
      </w:r>
    </w:p>
    <w:p w:rsidR="001F682D" w:rsidRDefault="001F682D">
      <w:pPr>
        <w:pStyle w:val="ConsPlusTitle"/>
        <w:jc w:val="center"/>
      </w:pPr>
      <w:r>
        <w:t>от 7 мая 2010 г. N 16/7</w:t>
      </w:r>
    </w:p>
    <w:p w:rsidR="001F682D" w:rsidRDefault="001F682D">
      <w:pPr>
        <w:pStyle w:val="ConsPlusTitle"/>
        <w:jc w:val="center"/>
      </w:pPr>
    </w:p>
    <w:p w:rsidR="001F682D" w:rsidRDefault="001F682D">
      <w:pPr>
        <w:pStyle w:val="ConsPlusTitle"/>
        <w:jc w:val="center"/>
      </w:pPr>
      <w:r>
        <w:t>О ТРЕБОВАНИЯХ К ПРОГРАММАМ В ОБЛАСТИ ЭНЕРГОСБЕРЕЖЕНИЯ</w:t>
      </w:r>
    </w:p>
    <w:p w:rsidR="001F682D" w:rsidRDefault="001F682D">
      <w:pPr>
        <w:pStyle w:val="ConsPlusTitle"/>
        <w:jc w:val="center"/>
      </w:pPr>
      <w:r>
        <w:t>И ПОВЫШЕНИЯ ЭНЕРГЕТИЧЕСКОЙ ЭФФЕКТИВНОСТИ</w:t>
      </w:r>
    </w:p>
    <w:p w:rsidR="001F682D" w:rsidRDefault="001F68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68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82D" w:rsidRDefault="001F68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82D" w:rsidRDefault="001F68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682D" w:rsidRDefault="001F68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82D" w:rsidRDefault="001F68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  <w:proofErr w:type="gramEnd"/>
          </w:p>
          <w:p w:rsidR="001F682D" w:rsidRDefault="001F682D">
            <w:pPr>
              <w:pStyle w:val="ConsPlusNormal"/>
              <w:jc w:val="center"/>
            </w:pPr>
            <w:r>
              <w:rPr>
                <w:color w:val="392C69"/>
              </w:rPr>
              <w:t>от 30.12.2016 N 51/7-пр-2016)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82D" w:rsidRDefault="001F682D">
            <w:pPr>
              <w:pStyle w:val="ConsPlusNormal"/>
            </w:pPr>
          </w:p>
        </w:tc>
      </w:tr>
    </w:tbl>
    <w:p w:rsidR="001F682D" w:rsidRDefault="001F682D">
      <w:pPr>
        <w:pStyle w:val="ConsPlusNormal"/>
        <w:jc w:val="both"/>
      </w:pPr>
    </w:p>
    <w:p w:rsidR="001F682D" w:rsidRDefault="001F682D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25</w:t>
        </w:r>
      </w:hyperlink>
      <w:r>
        <w:t xml:space="preserve"> Федерального закона "Об энергосбережении и о повышении энергетической эффективности и </w:t>
      </w:r>
      <w:proofErr w:type="gramStart"/>
      <w:r>
        <w:t>о</w:t>
      </w:r>
      <w:proofErr w:type="gramEnd"/>
      <w:r>
        <w:t xml:space="preserve"> </w:t>
      </w:r>
      <w:proofErr w:type="gramStart"/>
      <w:r>
        <w:t>внесений</w:t>
      </w:r>
      <w:proofErr w:type="gramEnd"/>
      <w:r>
        <w:t xml:space="preserve"> изменений в отдельные законодательные акты Российской Федерации" от 23.11.2009 N 261-ФЗ правление региональной службы по тарифам Кировской области решило: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3">
        <w:r>
          <w:rPr>
            <w:color w:val="0000FF"/>
          </w:rPr>
          <w:t>требования</w:t>
        </w:r>
      </w:hyperlink>
      <w:r>
        <w:t xml:space="preserve"> к программам в области энергосбережения и повышения энергетической эффективности организаций, осуществляющих регулируемые виды деятельности, цены (тарифы) на товары, услуги которых подлежат установлению региональной службой по тарифам Кировской области, согласно приложению.</w:t>
      </w:r>
    </w:p>
    <w:p w:rsidR="001F682D" w:rsidRDefault="001F682D">
      <w:pPr>
        <w:pStyle w:val="ConsPlusNormal"/>
        <w:spacing w:before="220"/>
        <w:ind w:left="540"/>
        <w:jc w:val="both"/>
      </w:pPr>
      <w:r>
        <w:t>2. Данное решение вступает в силу с 7 мая 2010 года.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3. Опубликовать настоящее решение в средствах массовой информации.</w:t>
      </w:r>
    </w:p>
    <w:p w:rsidR="001F682D" w:rsidRDefault="001F682D">
      <w:pPr>
        <w:pStyle w:val="ConsPlusNormal"/>
        <w:jc w:val="both"/>
      </w:pPr>
    </w:p>
    <w:p w:rsidR="001F682D" w:rsidRDefault="001F682D">
      <w:pPr>
        <w:pStyle w:val="ConsPlusNormal"/>
        <w:jc w:val="right"/>
      </w:pPr>
      <w:r>
        <w:t>И.о. руководителя</w:t>
      </w:r>
    </w:p>
    <w:p w:rsidR="001F682D" w:rsidRDefault="001F682D">
      <w:pPr>
        <w:pStyle w:val="ConsPlusNormal"/>
        <w:jc w:val="right"/>
      </w:pPr>
      <w:r>
        <w:t>региональной службы по тарифам</w:t>
      </w:r>
    </w:p>
    <w:p w:rsidR="001F682D" w:rsidRDefault="001F682D">
      <w:pPr>
        <w:pStyle w:val="ConsPlusNormal"/>
        <w:jc w:val="right"/>
      </w:pPr>
      <w:r>
        <w:t>Кировской области</w:t>
      </w:r>
    </w:p>
    <w:p w:rsidR="001F682D" w:rsidRDefault="001F682D">
      <w:pPr>
        <w:pStyle w:val="ConsPlusNormal"/>
        <w:jc w:val="right"/>
      </w:pPr>
      <w:r>
        <w:t>Г.В.ТРОЯН</w:t>
      </w:r>
    </w:p>
    <w:p w:rsidR="001F682D" w:rsidRDefault="001F682D">
      <w:pPr>
        <w:pStyle w:val="ConsPlusNormal"/>
        <w:jc w:val="both"/>
      </w:pPr>
    </w:p>
    <w:p w:rsidR="001F682D" w:rsidRDefault="001F682D">
      <w:pPr>
        <w:pStyle w:val="ConsPlusNormal"/>
        <w:jc w:val="both"/>
      </w:pPr>
    </w:p>
    <w:p w:rsidR="001F682D" w:rsidRDefault="001F682D">
      <w:pPr>
        <w:pStyle w:val="ConsPlusNormal"/>
        <w:jc w:val="both"/>
      </w:pPr>
    </w:p>
    <w:p w:rsidR="001F682D" w:rsidRDefault="001F682D">
      <w:pPr>
        <w:pStyle w:val="ConsPlusNormal"/>
        <w:jc w:val="both"/>
      </w:pPr>
    </w:p>
    <w:p w:rsidR="001F682D" w:rsidRDefault="001F682D">
      <w:pPr>
        <w:pStyle w:val="ConsPlusNormal"/>
        <w:jc w:val="both"/>
      </w:pPr>
    </w:p>
    <w:p w:rsidR="001F682D" w:rsidRDefault="001F682D">
      <w:pPr>
        <w:pStyle w:val="ConsPlusNormal"/>
        <w:jc w:val="right"/>
        <w:outlineLvl w:val="0"/>
      </w:pPr>
      <w:r>
        <w:t>Приложение</w:t>
      </w:r>
    </w:p>
    <w:p w:rsidR="001F682D" w:rsidRDefault="001F682D">
      <w:pPr>
        <w:pStyle w:val="ConsPlusNormal"/>
        <w:jc w:val="right"/>
      </w:pPr>
      <w:r>
        <w:t>к решению</w:t>
      </w:r>
    </w:p>
    <w:p w:rsidR="001F682D" w:rsidRDefault="001F682D">
      <w:pPr>
        <w:pStyle w:val="ConsPlusNormal"/>
        <w:jc w:val="right"/>
      </w:pPr>
      <w:r>
        <w:t xml:space="preserve">правления </w:t>
      </w:r>
      <w:proofErr w:type="gramStart"/>
      <w:r>
        <w:t>региональной</w:t>
      </w:r>
      <w:proofErr w:type="gramEnd"/>
    </w:p>
    <w:p w:rsidR="001F682D" w:rsidRDefault="001F682D">
      <w:pPr>
        <w:pStyle w:val="ConsPlusNormal"/>
        <w:jc w:val="right"/>
      </w:pPr>
      <w:r>
        <w:t>службы по тарифам</w:t>
      </w:r>
    </w:p>
    <w:p w:rsidR="001F682D" w:rsidRDefault="001F682D">
      <w:pPr>
        <w:pStyle w:val="ConsPlusNormal"/>
        <w:jc w:val="right"/>
      </w:pPr>
      <w:r>
        <w:t>Кировской области</w:t>
      </w:r>
    </w:p>
    <w:p w:rsidR="001F682D" w:rsidRDefault="001F682D">
      <w:pPr>
        <w:pStyle w:val="ConsPlusNormal"/>
        <w:jc w:val="right"/>
      </w:pPr>
      <w:r>
        <w:t>от 7 мая 2010 г. N 16/7</w:t>
      </w:r>
    </w:p>
    <w:p w:rsidR="001F682D" w:rsidRDefault="001F682D">
      <w:pPr>
        <w:pStyle w:val="ConsPlusNormal"/>
        <w:jc w:val="both"/>
      </w:pPr>
    </w:p>
    <w:p w:rsidR="001F682D" w:rsidRDefault="001F682D">
      <w:pPr>
        <w:pStyle w:val="ConsPlusTitle"/>
        <w:jc w:val="center"/>
      </w:pPr>
      <w:bookmarkStart w:id="0" w:name="P33"/>
      <w:bookmarkEnd w:id="0"/>
      <w:r>
        <w:t>ТРЕБОВАНИЯ</w:t>
      </w:r>
    </w:p>
    <w:p w:rsidR="001F682D" w:rsidRDefault="001F682D">
      <w:pPr>
        <w:pStyle w:val="ConsPlusTitle"/>
        <w:jc w:val="center"/>
      </w:pPr>
      <w:r>
        <w:t>К ПРОГРАММАМ В ОБЛАСТИ ЭНЕРГОСБЕРЕЖЕНИЯ И ПОВЫШЕНИЯ</w:t>
      </w:r>
    </w:p>
    <w:p w:rsidR="001F682D" w:rsidRDefault="001F682D">
      <w:pPr>
        <w:pStyle w:val="ConsPlusTitle"/>
        <w:jc w:val="center"/>
      </w:pPr>
      <w:r>
        <w:t>ЭНЕРГЕТИЧЕСКОЙ ЭФФЕКТИВНОСТИ ОРГАНИЗАЦИЙ, ОСУЩЕСТВЛЯЮЩИХ</w:t>
      </w:r>
    </w:p>
    <w:p w:rsidR="001F682D" w:rsidRDefault="001F682D">
      <w:pPr>
        <w:pStyle w:val="ConsPlusTitle"/>
        <w:jc w:val="center"/>
      </w:pPr>
      <w:r>
        <w:t>РЕГУЛИРУЕМЫЕ ВИДЫ ДЕЯТЕЛЬНОСТИ, ЦЕНЫ (ТАРИФЫ) НА ТОВАРЫ,</w:t>
      </w:r>
    </w:p>
    <w:p w:rsidR="001F682D" w:rsidRDefault="001F682D">
      <w:pPr>
        <w:pStyle w:val="ConsPlusTitle"/>
        <w:jc w:val="center"/>
      </w:pPr>
      <w:proofErr w:type="gramStart"/>
      <w:r>
        <w:t>УСЛУГИ</w:t>
      </w:r>
      <w:proofErr w:type="gramEnd"/>
      <w:r>
        <w:t xml:space="preserve"> КОТОРЫХ ПОДЛЕЖАТ УСТАНОВЛЕНИЮ РЕГИОНАЛЬНОЙ СЛУЖБОЙ</w:t>
      </w:r>
    </w:p>
    <w:p w:rsidR="001F682D" w:rsidRDefault="001F682D">
      <w:pPr>
        <w:pStyle w:val="ConsPlusTitle"/>
        <w:jc w:val="center"/>
      </w:pPr>
      <w:r>
        <w:t>ПО ТАРИФАМ КИРОВСКОЙ ОБЛАСТИ</w:t>
      </w:r>
    </w:p>
    <w:p w:rsidR="001F682D" w:rsidRDefault="001F68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68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82D" w:rsidRDefault="001F68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82D" w:rsidRDefault="001F68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682D" w:rsidRDefault="001F68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82D" w:rsidRDefault="001F68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  <w:proofErr w:type="gramEnd"/>
          </w:p>
          <w:p w:rsidR="001F682D" w:rsidRDefault="001F682D">
            <w:pPr>
              <w:pStyle w:val="ConsPlusNormal"/>
              <w:jc w:val="center"/>
            </w:pPr>
            <w:r>
              <w:rPr>
                <w:color w:val="392C69"/>
              </w:rPr>
              <w:t>от 30.12.2016 N 51/7-пр-2016)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82D" w:rsidRDefault="001F682D">
            <w:pPr>
              <w:pStyle w:val="ConsPlusNormal"/>
            </w:pPr>
          </w:p>
        </w:tc>
      </w:tr>
    </w:tbl>
    <w:p w:rsidR="001F682D" w:rsidRDefault="001F682D">
      <w:pPr>
        <w:pStyle w:val="ConsPlusNormal"/>
        <w:jc w:val="both"/>
      </w:pPr>
    </w:p>
    <w:p w:rsidR="001F682D" w:rsidRDefault="001F682D">
      <w:pPr>
        <w:pStyle w:val="ConsPlusNormal"/>
        <w:ind w:firstLine="540"/>
        <w:jc w:val="both"/>
      </w:pPr>
      <w:r>
        <w:t>1. Целевые показатели в области энергосбережения и повышения энергетической эффективности.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К общим целевым показателям в области энергосбережения и повышения энергетической эффективности относятся: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регулируемой организацией;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регулируемой организацией;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доля объемов воды, расчеты за которую осуществляются с использованием приборов учета, в общем объеме воды, потребляемой (используемой) регулируемой организацией;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доля объемов природного газа, расчеты за который осуществляются с использованием приборов учета, в общем объеме природного газа, потребляемого (используемого) регулируемой организацией;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изменение объема производства энергетических ресурсов с использованием возобновляемых источников энергии и (или) вторичных энергетических ресурсов;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регулируемой организацией;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доля использования осветительных устройств с использованием светодиодов в общем объеме используемых осветительных устройств;</w:t>
      </w:r>
    </w:p>
    <w:p w:rsidR="001F682D" w:rsidRDefault="001F682D">
      <w:pPr>
        <w:pStyle w:val="ConsPlusNormal"/>
        <w:jc w:val="both"/>
      </w:pPr>
      <w:r>
        <w:t xml:space="preserve">(абзац введен </w:t>
      </w:r>
      <w:hyperlink r:id="rId9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30.12.2016 N 51/7-пр-2016)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объем 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программы в области энергосбережения и повышения энергетической эффективности регулируемой организации;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объем собственных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программы в области энергосбережения и повышения энергетической эффективности регулируемой организации.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К целевым показателям в области энергосбережения и повышения энергетической эффективности, отражающим экономию по отдельным видам энергетических ресурсов (рассчитываются для фактических и сопоставимых условий), относятся: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экономия электрической энергии в натуральном и стоимостном выражении;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экономия тепловой энергии в натуральном и стоимостном выражении;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экономия воды в натуральном и стоимостном выражении;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lastRenderedPageBreak/>
        <w:t>- экономия природного газа в натуральном и стоимостном выражении;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экономия топлива в натуральном и стоимостном выражении.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2. Перечень обязательных мероприятий по энергосбережению и повышению энергетической эффективности и сроки их проведения.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Перечень обязательных мероприятий по энергосбережению и повышению энергетической эффективности включает в себя: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мероприятия по проведению энергетических обследований;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мероприятия по обязательному учету с применением приборов учета используемых, производимых и передаваемых энергетических ресурсов;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мероприятия по модернизации оборудования, используемого для выработки и передачи электрической 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мероприятия по модернизации оборудования, используемого для подъема, очистки и передачи (транспортировки) воды,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мероприятия по внедрению энергосберегающих технологий;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мероприятия, 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мероприятия по расширению использования в качестве источников энергии вторичных энергетических ресурсов и (или) возобновляемых и местных источников энергии;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мероприятия по сокращению потерь электрической энергии, тепловой энергии и воды при их передаче;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мероприятия по разработке гидравлических схем сетей тепло-, водоснабжения и водоотведения с целью дальнейшего повышения эффективности их работы;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утверждение нормативов потерь электрической и тепловой энергии в соответствии с требованиями действующего законодательства.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Данные мероприятия должны быть выполнены в сроки, предусмотренные действующим законодательством,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3. Показатели энергетической эффективности объектов, создание или модернизация которых планируется производственными или инвестиционными программами организаций.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Показателями энергетической эффективности объектов являются: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изменение удельного расхода топлива на выработку электрической энергии тепловыми электростанциями;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изменение удельного расхода топлива на выработку тепловой энергии;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изменение удельного расхода электроэнергии на выработку и передачу тепловой энергии;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lastRenderedPageBreak/>
        <w:t>- изменение удельного расхода электроэнергии на добычу и передачу воды;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динамика изменения фактического объема потерь электрической энергии при ее передаче по распределительным сетям;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динамика изменения фактического объема потерь тепловой энергии при ее передаче;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динамика изменения фактического объема потерь воды при ее передаче;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динамика изменения объемов электрической энергии, используемой при передаче (транспортировке) тепловой энергии;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- динамика изменения объемов электрической энергии, используемой при передаче (транспортировке) воды.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4. 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для каждого года на протяжении всего срока реализации программ.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 xml:space="preserve">5. Целевые показатели в области энергосбережения и повышения энергетической эффективности, а также показатели энергетической эффективности объектов, создание или модернизация которых планируется производственными или инвестиционными программами организаций, предусмотренные в программах, отражающие динамику (изменение) показателей, рассчитываются по отношению к значениям соответствующих показателей в году, предшествующем году начала реализации программ. При расчете значений данных показателей в сопоставимых условиях должно </w:t>
      </w:r>
      <w:proofErr w:type="gramStart"/>
      <w:r>
        <w:t>учитываться</w:t>
      </w:r>
      <w:proofErr w:type="gramEnd"/>
      <w:r>
        <w:t xml:space="preserve"> в том числе изменение структуры и объемов потребления энергетических ресурсов, не связанных с проведением мероприятий по энергосбережению и повышению энергетической эффективности.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6. Требования к программам должны обеспечивать доведение использования регулируемыми организациями осветительных устройств с использованием светодиодов до уровня: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в 2017 году - не менее 10 процентов общего объема используемых осветительных устройств;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в 2018 году - не менее 30 процентов общего объема используемых осветительных устройств;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в 2019 году - не менее 50 процентов общего объема используемых осветительных устройств;</w:t>
      </w:r>
    </w:p>
    <w:p w:rsidR="001F682D" w:rsidRDefault="001F682D">
      <w:pPr>
        <w:pStyle w:val="ConsPlusNormal"/>
        <w:spacing w:before="220"/>
        <w:ind w:firstLine="540"/>
        <w:jc w:val="both"/>
      </w:pPr>
      <w:r>
        <w:t>в 2020 году - не менее 75 процентов общего объема используемых осветительных устройств.</w:t>
      </w:r>
    </w:p>
    <w:p w:rsidR="001F682D" w:rsidRDefault="001F682D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10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30.12.2016 N 51/7-пр-2016)</w:t>
      </w:r>
    </w:p>
    <w:p w:rsidR="001F682D" w:rsidRDefault="001F682D">
      <w:pPr>
        <w:pStyle w:val="ConsPlusNormal"/>
        <w:jc w:val="both"/>
      </w:pPr>
    </w:p>
    <w:p w:rsidR="001F682D" w:rsidRDefault="001F682D">
      <w:pPr>
        <w:pStyle w:val="ConsPlusNormal"/>
        <w:jc w:val="both"/>
      </w:pPr>
    </w:p>
    <w:p w:rsidR="001F682D" w:rsidRDefault="001F68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A80" w:rsidRDefault="00DF5A80">
      <w:bookmarkStart w:id="1" w:name="_GoBack"/>
      <w:bookmarkEnd w:id="1"/>
    </w:p>
    <w:sectPr w:rsidR="00DF5A80" w:rsidSect="0042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2D"/>
    <w:rsid w:val="001F682D"/>
    <w:rsid w:val="00D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8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68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68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8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68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68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09656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642&amp;dst=10031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09656&amp;dst=100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240&amp;n=109656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09656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2024-09-04T12:53:00Z</dcterms:created>
  <dcterms:modified xsi:type="dcterms:W3CDTF">2024-09-04T12:54:00Z</dcterms:modified>
</cp:coreProperties>
</file>