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2730" w14:textId="77777777" w:rsidR="0004385C" w:rsidRDefault="0004385C">
      <w:pPr>
        <w:pStyle w:val="ConsPlusNormal"/>
        <w:outlineLvl w:val="0"/>
      </w:pPr>
      <w:r>
        <w:t>Зарегистрировано в Минюсте России 13 июля 2011 г. N 21337</w:t>
      </w:r>
    </w:p>
    <w:p w14:paraId="5FD7159B" w14:textId="77777777" w:rsidR="0004385C" w:rsidRDefault="0004385C">
      <w:pPr>
        <w:pStyle w:val="ConsPlusNormal"/>
        <w:pBdr>
          <w:bottom w:val="single" w:sz="6" w:space="0" w:color="auto"/>
        </w:pBdr>
        <w:spacing w:before="100" w:after="100"/>
        <w:jc w:val="both"/>
        <w:rPr>
          <w:sz w:val="2"/>
          <w:szCs w:val="2"/>
        </w:rPr>
      </w:pPr>
    </w:p>
    <w:p w14:paraId="5964CBDA" w14:textId="77777777" w:rsidR="0004385C" w:rsidRDefault="0004385C">
      <w:pPr>
        <w:pStyle w:val="ConsPlusNormal"/>
      </w:pPr>
    </w:p>
    <w:p w14:paraId="0AED3D4B" w14:textId="77777777" w:rsidR="0004385C" w:rsidRDefault="0004385C">
      <w:pPr>
        <w:pStyle w:val="ConsPlusTitle"/>
        <w:jc w:val="center"/>
      </w:pPr>
      <w:r>
        <w:t>ФЕДЕРАЛЬНАЯ СЛУЖБА ПО ТАРИФАМ</w:t>
      </w:r>
    </w:p>
    <w:p w14:paraId="4A552A95" w14:textId="77777777" w:rsidR="0004385C" w:rsidRDefault="0004385C">
      <w:pPr>
        <w:pStyle w:val="ConsPlusTitle"/>
        <w:jc w:val="center"/>
      </w:pPr>
    </w:p>
    <w:p w14:paraId="404F62C8" w14:textId="77777777" w:rsidR="0004385C" w:rsidRDefault="0004385C">
      <w:pPr>
        <w:pStyle w:val="ConsPlusTitle"/>
        <w:jc w:val="center"/>
      </w:pPr>
      <w:r>
        <w:t>ПРИКАЗ</w:t>
      </w:r>
    </w:p>
    <w:p w14:paraId="408D6587" w14:textId="77777777" w:rsidR="0004385C" w:rsidRDefault="0004385C">
      <w:pPr>
        <w:pStyle w:val="ConsPlusTitle"/>
        <w:jc w:val="center"/>
      </w:pPr>
      <w:r>
        <w:t>от 21 июня 2011 г. N 154-э/4</w:t>
      </w:r>
    </w:p>
    <w:p w14:paraId="0B7CC1D7" w14:textId="77777777" w:rsidR="0004385C" w:rsidRDefault="0004385C">
      <w:pPr>
        <w:pStyle w:val="ConsPlusTitle"/>
        <w:jc w:val="center"/>
      </w:pPr>
    </w:p>
    <w:p w14:paraId="4C2507C2" w14:textId="77777777" w:rsidR="0004385C" w:rsidRDefault="0004385C">
      <w:pPr>
        <w:pStyle w:val="ConsPlusTitle"/>
        <w:jc w:val="center"/>
      </w:pPr>
      <w:r>
        <w:t>ОБ УТВЕРЖДЕНИИ МЕТОДИКИ</w:t>
      </w:r>
    </w:p>
    <w:p w14:paraId="43A76F39" w14:textId="77777777" w:rsidR="0004385C" w:rsidRDefault="0004385C">
      <w:pPr>
        <w:pStyle w:val="ConsPlusTitle"/>
        <w:jc w:val="center"/>
      </w:pPr>
      <w:r>
        <w:t>ОПРЕДЕЛЕНИЯ РАЗМЕРА СПЕЦИАЛЬНЫХ НАДБАВОК</w:t>
      </w:r>
    </w:p>
    <w:p w14:paraId="0962BE12" w14:textId="77777777" w:rsidR="0004385C" w:rsidRDefault="0004385C">
      <w:pPr>
        <w:pStyle w:val="ConsPlusTitle"/>
        <w:jc w:val="center"/>
      </w:pPr>
      <w:r>
        <w:t>К ТАРИФАМ НА ТРАНСПОРТИРОВКУ ГАЗА ГАЗОРАСПРЕДЕЛИТЕЛЬНЫМИ</w:t>
      </w:r>
    </w:p>
    <w:p w14:paraId="2C225C48" w14:textId="77777777" w:rsidR="0004385C" w:rsidRDefault="0004385C">
      <w:pPr>
        <w:pStyle w:val="ConsPlusTitle"/>
        <w:jc w:val="center"/>
      </w:pPr>
      <w:r>
        <w:t>ОРГАНИЗАЦИЯМИ ДЛЯ ФИНАНСИРОВАНИЯ ПРОГРАММ ГАЗИФИКАЦИИ</w:t>
      </w:r>
    </w:p>
    <w:p w14:paraId="3D3B0249" w14:textId="77777777" w:rsidR="0004385C" w:rsidRDefault="00043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5C" w14:paraId="798A61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372FA" w14:textId="77777777" w:rsidR="0004385C" w:rsidRDefault="00043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EAD1A" w14:textId="77777777" w:rsidR="0004385C" w:rsidRDefault="00043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36E79" w14:textId="77777777" w:rsidR="0004385C" w:rsidRDefault="0004385C">
            <w:pPr>
              <w:pStyle w:val="ConsPlusNormal"/>
              <w:jc w:val="center"/>
            </w:pPr>
            <w:r>
              <w:rPr>
                <w:color w:val="392C69"/>
              </w:rPr>
              <w:t>Список изменяющих документов</w:t>
            </w:r>
          </w:p>
          <w:p w14:paraId="0B62025C" w14:textId="77777777" w:rsidR="0004385C" w:rsidRDefault="0004385C">
            <w:pPr>
              <w:pStyle w:val="ConsPlusNormal"/>
              <w:jc w:val="center"/>
            </w:pPr>
            <w:r>
              <w:rPr>
                <w:color w:val="392C69"/>
              </w:rPr>
              <w:t xml:space="preserve">(в ред. Приказов ФСТ России от 12.10.2011 </w:t>
            </w:r>
            <w:hyperlink r:id="rId4">
              <w:r>
                <w:rPr>
                  <w:color w:val="0000FF"/>
                </w:rPr>
                <w:t>N 245-э/1</w:t>
              </w:r>
            </w:hyperlink>
            <w:r>
              <w:rPr>
                <w:color w:val="392C69"/>
              </w:rPr>
              <w:t>,</w:t>
            </w:r>
          </w:p>
          <w:p w14:paraId="4A013433" w14:textId="77777777" w:rsidR="0004385C" w:rsidRDefault="0004385C">
            <w:pPr>
              <w:pStyle w:val="ConsPlusNormal"/>
              <w:jc w:val="center"/>
            </w:pPr>
            <w:r>
              <w:rPr>
                <w:color w:val="392C69"/>
              </w:rPr>
              <w:t xml:space="preserve">от 31.10.2014 </w:t>
            </w:r>
            <w:hyperlink r:id="rId5">
              <w:r>
                <w:rPr>
                  <w:color w:val="0000FF"/>
                </w:rPr>
                <w:t>N 244-э/6</w:t>
              </w:r>
            </w:hyperlink>
            <w:r>
              <w:rPr>
                <w:color w:val="392C69"/>
              </w:rPr>
              <w:t>,</w:t>
            </w:r>
          </w:p>
          <w:p w14:paraId="2B3C6BE2" w14:textId="77777777" w:rsidR="0004385C" w:rsidRDefault="0004385C">
            <w:pPr>
              <w:pStyle w:val="ConsPlusNormal"/>
              <w:jc w:val="center"/>
            </w:pPr>
            <w:r>
              <w:rPr>
                <w:color w:val="392C69"/>
              </w:rPr>
              <w:t xml:space="preserve">Приказов ФАС России от 16.07.2021 </w:t>
            </w:r>
            <w:hyperlink r:id="rId6">
              <w:r>
                <w:rPr>
                  <w:color w:val="0000FF"/>
                </w:rPr>
                <w:t>N 690/21</w:t>
              </w:r>
            </w:hyperlink>
            <w:r>
              <w:rPr>
                <w:color w:val="392C69"/>
              </w:rPr>
              <w:t>,</w:t>
            </w:r>
          </w:p>
          <w:p w14:paraId="48039165" w14:textId="77777777" w:rsidR="0004385C" w:rsidRDefault="0004385C">
            <w:pPr>
              <w:pStyle w:val="ConsPlusNormal"/>
              <w:jc w:val="center"/>
            </w:pPr>
            <w:r>
              <w:rPr>
                <w:color w:val="392C69"/>
              </w:rPr>
              <w:t xml:space="preserve">от 27.04.2024 </w:t>
            </w:r>
            <w:hyperlink r:id="rId7">
              <w:r>
                <w:rPr>
                  <w:color w:val="0000FF"/>
                </w:rPr>
                <w:t>N 296/24</w:t>
              </w:r>
            </w:hyperlink>
            <w:r>
              <w:rPr>
                <w:color w:val="392C69"/>
              </w:rPr>
              <w:t xml:space="preserve">, от 25.04.2025 </w:t>
            </w:r>
            <w:hyperlink r:id="rId8">
              <w:r>
                <w:rPr>
                  <w:color w:val="0000FF"/>
                </w:rPr>
                <w:t>N 308/25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EDB6CB" w14:textId="77777777" w:rsidR="0004385C" w:rsidRDefault="0004385C">
            <w:pPr>
              <w:pStyle w:val="ConsPlusNormal"/>
            </w:pPr>
          </w:p>
        </w:tc>
      </w:tr>
    </w:tbl>
    <w:p w14:paraId="4CBF474D" w14:textId="77777777" w:rsidR="0004385C" w:rsidRDefault="0004385C">
      <w:pPr>
        <w:pStyle w:val="ConsPlusNormal"/>
        <w:ind w:firstLine="540"/>
        <w:jc w:val="both"/>
      </w:pPr>
    </w:p>
    <w:p w14:paraId="611F3F4B" w14:textId="77777777" w:rsidR="0004385C" w:rsidRDefault="0004385C">
      <w:pPr>
        <w:pStyle w:val="ConsPlusNormal"/>
        <w:ind w:firstLine="540"/>
        <w:jc w:val="both"/>
      </w:pPr>
      <w:r>
        <w:t xml:space="preserve">В соответствии с Федеральным </w:t>
      </w:r>
      <w:hyperlink r:id="rId9">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N 1, ст. 21), </w:t>
      </w:r>
      <w:hyperlink r:id="rId10">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w:t>
      </w:r>
      <w:hyperlink r:id="rId11">
        <w:r>
          <w:rPr>
            <w:color w:val="0000FF"/>
          </w:rPr>
          <w:t>Постановлением</w:t>
        </w:r>
      </w:hyperlink>
      <w:r>
        <w:t xml:space="preserve"> Правительства Российской Федерации от 3 мая 2001 года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а также учитывая итоги рассмотрения данного вопроса на Правлении ФСТ России (протокол от 21 июня 2011 года N 37-э) приказываю:</w:t>
      </w:r>
    </w:p>
    <w:p w14:paraId="06CC16C9" w14:textId="77777777" w:rsidR="0004385C" w:rsidRDefault="0004385C">
      <w:pPr>
        <w:pStyle w:val="ConsPlusNormal"/>
        <w:spacing w:before="220"/>
        <w:ind w:firstLine="540"/>
        <w:jc w:val="both"/>
      </w:pPr>
      <w:r>
        <w:t xml:space="preserve">1. Утвердить </w:t>
      </w:r>
      <w:hyperlink w:anchor="P43">
        <w:r>
          <w:rPr>
            <w:color w:val="0000FF"/>
          </w:rPr>
          <w:t>Методику</w:t>
        </w:r>
      </w:hyperlink>
      <w:r>
        <w:t xml:space="preserve">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согласно приложению.</w:t>
      </w:r>
    </w:p>
    <w:p w14:paraId="5E92DE21" w14:textId="77777777" w:rsidR="0004385C" w:rsidRDefault="0004385C">
      <w:pPr>
        <w:pStyle w:val="ConsPlusNormal"/>
        <w:spacing w:before="220"/>
        <w:ind w:firstLine="540"/>
        <w:jc w:val="both"/>
      </w:pPr>
      <w:r>
        <w:t>2. Признать утратившими силу Приказы Федеральной службы по тарифам:</w:t>
      </w:r>
    </w:p>
    <w:p w14:paraId="43609245" w14:textId="77777777" w:rsidR="0004385C" w:rsidRDefault="0004385C">
      <w:pPr>
        <w:pStyle w:val="ConsPlusNormal"/>
        <w:spacing w:before="220"/>
        <w:ind w:firstLine="540"/>
        <w:jc w:val="both"/>
      </w:pPr>
      <w:r>
        <w:t xml:space="preserve">- от 15 августа 2006 года </w:t>
      </w:r>
      <w:hyperlink r:id="rId12">
        <w:r>
          <w:rPr>
            <w:color w:val="0000FF"/>
          </w:rPr>
          <w:t>N 187-э/4</w:t>
        </w:r>
      </w:hyperlink>
      <w:r>
        <w:t xml:space="preserve"> "Об утверждении Методики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(зарегистрировано Минюстом России 27 сентября 2006 года, регистрационный N 8328);</w:t>
      </w:r>
    </w:p>
    <w:p w14:paraId="6AD84BB0" w14:textId="77777777" w:rsidR="0004385C" w:rsidRDefault="0004385C">
      <w:pPr>
        <w:pStyle w:val="ConsPlusNormal"/>
        <w:spacing w:before="220"/>
        <w:ind w:firstLine="540"/>
        <w:jc w:val="both"/>
      </w:pPr>
      <w:r>
        <w:t xml:space="preserve">- от 18 ноября 2008 года </w:t>
      </w:r>
      <w:hyperlink r:id="rId13">
        <w:r>
          <w:rPr>
            <w:color w:val="0000FF"/>
          </w:rPr>
          <w:t>N 264-э/5</w:t>
        </w:r>
      </w:hyperlink>
      <w:r>
        <w:t xml:space="preserve"> "О внесении изменений и дополнений в Методику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19 декабря 2008 года, регистрационный N 12900);</w:t>
      </w:r>
    </w:p>
    <w:p w14:paraId="06DC8AFD" w14:textId="77777777" w:rsidR="0004385C" w:rsidRDefault="0004385C">
      <w:pPr>
        <w:pStyle w:val="ConsPlusNormal"/>
        <w:spacing w:before="220"/>
        <w:ind w:firstLine="540"/>
        <w:jc w:val="both"/>
      </w:pPr>
      <w:r>
        <w:t xml:space="preserve">- от 10 сентября 2010 года </w:t>
      </w:r>
      <w:hyperlink r:id="rId14">
        <w:r>
          <w:rPr>
            <w:color w:val="0000FF"/>
          </w:rPr>
          <w:t>N 225-э/2</w:t>
        </w:r>
      </w:hyperlink>
      <w:r>
        <w:t xml:space="preserve"> "О внесении изменений в Методику определения </w:t>
      </w:r>
      <w:r>
        <w:lastRenderedPageBreak/>
        <w:t>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14 октября 2010 года, регистрационный N 18729).</w:t>
      </w:r>
    </w:p>
    <w:p w14:paraId="55CCBCB0" w14:textId="77777777" w:rsidR="0004385C" w:rsidRDefault="0004385C">
      <w:pPr>
        <w:pStyle w:val="ConsPlusNormal"/>
        <w:spacing w:before="220"/>
        <w:ind w:firstLine="540"/>
        <w:jc w:val="both"/>
      </w:pPr>
      <w:r>
        <w:t>3. Настоящий Приказ вступает в силу в установленном порядке.</w:t>
      </w:r>
    </w:p>
    <w:p w14:paraId="2A6F8F4B" w14:textId="77777777" w:rsidR="0004385C" w:rsidRDefault="0004385C">
      <w:pPr>
        <w:pStyle w:val="ConsPlusNormal"/>
        <w:spacing w:before="220"/>
        <w:ind w:firstLine="540"/>
        <w:jc w:val="both"/>
      </w:pPr>
      <w:bookmarkStart w:id="0" w:name="P26"/>
      <w:bookmarkEnd w:id="0"/>
      <w:r>
        <w:t xml:space="preserve">4. Утратил силу. - </w:t>
      </w:r>
      <w:hyperlink r:id="rId15">
        <w:r>
          <w:rPr>
            <w:color w:val="0000FF"/>
          </w:rPr>
          <w:t>Приказ</w:t>
        </w:r>
      </w:hyperlink>
      <w:r>
        <w:t xml:space="preserve"> ФАС России от 25.04.2025 N 308/25.</w:t>
      </w:r>
    </w:p>
    <w:p w14:paraId="14D9048B" w14:textId="77777777" w:rsidR="0004385C" w:rsidRDefault="0004385C">
      <w:pPr>
        <w:pStyle w:val="ConsPlusNormal"/>
        <w:spacing w:before="220"/>
        <w:ind w:firstLine="540"/>
        <w:jc w:val="both"/>
      </w:pPr>
      <w:r>
        <w:t>5. Настоящий приказ действует до 1 марта 2029 г.</w:t>
      </w:r>
    </w:p>
    <w:p w14:paraId="6490093B" w14:textId="77777777" w:rsidR="0004385C" w:rsidRDefault="0004385C">
      <w:pPr>
        <w:pStyle w:val="ConsPlusNormal"/>
        <w:jc w:val="both"/>
      </w:pPr>
      <w:r>
        <w:t xml:space="preserve">(п. 5 введен </w:t>
      </w:r>
      <w:hyperlink r:id="rId16">
        <w:r>
          <w:rPr>
            <w:color w:val="0000FF"/>
          </w:rPr>
          <w:t>Приказом</w:t>
        </w:r>
      </w:hyperlink>
      <w:r>
        <w:t xml:space="preserve"> ФАС России от 27.04.2024 N 296/24)</w:t>
      </w:r>
    </w:p>
    <w:p w14:paraId="04BF1A3E" w14:textId="77777777" w:rsidR="0004385C" w:rsidRDefault="0004385C">
      <w:pPr>
        <w:pStyle w:val="ConsPlusNormal"/>
        <w:ind w:firstLine="540"/>
        <w:jc w:val="both"/>
      </w:pPr>
    </w:p>
    <w:p w14:paraId="325E6F07" w14:textId="77777777" w:rsidR="0004385C" w:rsidRDefault="0004385C">
      <w:pPr>
        <w:pStyle w:val="ConsPlusNormal"/>
        <w:jc w:val="right"/>
      </w:pPr>
      <w:r>
        <w:t>Руководитель</w:t>
      </w:r>
    </w:p>
    <w:p w14:paraId="6BD6235A" w14:textId="77777777" w:rsidR="0004385C" w:rsidRDefault="0004385C">
      <w:pPr>
        <w:pStyle w:val="ConsPlusNormal"/>
        <w:jc w:val="right"/>
      </w:pPr>
      <w:r>
        <w:t>Федеральной службы по тарифам</w:t>
      </w:r>
    </w:p>
    <w:p w14:paraId="11171C4C" w14:textId="77777777" w:rsidR="0004385C" w:rsidRDefault="0004385C">
      <w:pPr>
        <w:pStyle w:val="ConsPlusNormal"/>
        <w:jc w:val="right"/>
      </w:pPr>
      <w:r>
        <w:t>С.НОВИКОВ</w:t>
      </w:r>
    </w:p>
    <w:p w14:paraId="3EA558F7" w14:textId="77777777" w:rsidR="0004385C" w:rsidRDefault="0004385C">
      <w:pPr>
        <w:pStyle w:val="ConsPlusNormal"/>
        <w:ind w:firstLine="540"/>
        <w:jc w:val="both"/>
      </w:pPr>
    </w:p>
    <w:p w14:paraId="6852CEE6" w14:textId="77777777" w:rsidR="0004385C" w:rsidRDefault="0004385C">
      <w:pPr>
        <w:pStyle w:val="ConsPlusNormal"/>
        <w:ind w:firstLine="540"/>
        <w:jc w:val="both"/>
      </w:pPr>
    </w:p>
    <w:p w14:paraId="4BD83F38" w14:textId="77777777" w:rsidR="0004385C" w:rsidRDefault="0004385C">
      <w:pPr>
        <w:pStyle w:val="ConsPlusNormal"/>
        <w:ind w:firstLine="540"/>
        <w:jc w:val="both"/>
      </w:pPr>
    </w:p>
    <w:p w14:paraId="41FE363D" w14:textId="77777777" w:rsidR="0004385C" w:rsidRDefault="0004385C">
      <w:pPr>
        <w:pStyle w:val="ConsPlusNormal"/>
        <w:ind w:firstLine="540"/>
        <w:jc w:val="both"/>
      </w:pPr>
    </w:p>
    <w:p w14:paraId="50739568" w14:textId="77777777" w:rsidR="0004385C" w:rsidRDefault="0004385C">
      <w:pPr>
        <w:pStyle w:val="ConsPlusNormal"/>
        <w:ind w:firstLine="540"/>
        <w:jc w:val="both"/>
      </w:pPr>
    </w:p>
    <w:p w14:paraId="7D37890D" w14:textId="77777777" w:rsidR="0004385C" w:rsidRDefault="0004385C">
      <w:pPr>
        <w:pStyle w:val="ConsPlusNormal"/>
        <w:jc w:val="right"/>
        <w:outlineLvl w:val="0"/>
      </w:pPr>
      <w:r>
        <w:t>Приложение</w:t>
      </w:r>
    </w:p>
    <w:p w14:paraId="5691A27F" w14:textId="77777777" w:rsidR="0004385C" w:rsidRDefault="0004385C">
      <w:pPr>
        <w:pStyle w:val="ConsPlusNormal"/>
        <w:jc w:val="right"/>
      </w:pPr>
      <w:r>
        <w:t>к Приказу Федеральной</w:t>
      </w:r>
    </w:p>
    <w:p w14:paraId="2C13B5D5" w14:textId="77777777" w:rsidR="0004385C" w:rsidRDefault="0004385C">
      <w:pPr>
        <w:pStyle w:val="ConsPlusNormal"/>
        <w:jc w:val="right"/>
      </w:pPr>
      <w:r>
        <w:t>службы по тарифам</w:t>
      </w:r>
    </w:p>
    <w:p w14:paraId="0B33821A" w14:textId="77777777" w:rsidR="0004385C" w:rsidRDefault="0004385C">
      <w:pPr>
        <w:pStyle w:val="ConsPlusNormal"/>
        <w:jc w:val="right"/>
      </w:pPr>
      <w:r>
        <w:t>от 21 июня 2011 г. N 154-э/4</w:t>
      </w:r>
    </w:p>
    <w:p w14:paraId="5212CB21" w14:textId="77777777" w:rsidR="0004385C" w:rsidRDefault="0004385C">
      <w:pPr>
        <w:pStyle w:val="ConsPlusNormal"/>
        <w:ind w:firstLine="540"/>
        <w:jc w:val="both"/>
      </w:pPr>
    </w:p>
    <w:p w14:paraId="360786DB" w14:textId="77777777" w:rsidR="0004385C" w:rsidRDefault="0004385C">
      <w:pPr>
        <w:pStyle w:val="ConsPlusTitle"/>
        <w:jc w:val="center"/>
      </w:pPr>
      <w:bookmarkStart w:id="1" w:name="P43"/>
      <w:bookmarkEnd w:id="1"/>
      <w:r>
        <w:t>МЕТОДИКА</w:t>
      </w:r>
    </w:p>
    <w:p w14:paraId="59CD5F8A" w14:textId="77777777" w:rsidR="0004385C" w:rsidRDefault="0004385C">
      <w:pPr>
        <w:pStyle w:val="ConsPlusTitle"/>
        <w:jc w:val="center"/>
      </w:pPr>
      <w:r>
        <w:t>ОПРЕДЕЛЕНИЯ РАЗМЕРА СПЕЦИАЛЬНЫХ НАДБАВОК</w:t>
      </w:r>
    </w:p>
    <w:p w14:paraId="36D7251F" w14:textId="77777777" w:rsidR="0004385C" w:rsidRDefault="0004385C">
      <w:pPr>
        <w:pStyle w:val="ConsPlusTitle"/>
        <w:jc w:val="center"/>
      </w:pPr>
      <w:r>
        <w:t>К ТАРИФАМ НА ТРАНСПОРТИРОВКУ ГАЗА ГАЗОРАСПРЕДЕЛИТЕЛЬНЫМИ</w:t>
      </w:r>
    </w:p>
    <w:p w14:paraId="76B7F6FE" w14:textId="77777777" w:rsidR="0004385C" w:rsidRDefault="0004385C">
      <w:pPr>
        <w:pStyle w:val="ConsPlusTitle"/>
        <w:jc w:val="center"/>
      </w:pPr>
      <w:r>
        <w:t>ОРГАНИЗАЦИЯМИ ДЛЯ ФИНАНСИРОВАНИЯ ПРОГРАММ ГАЗИФИКАЦИИ</w:t>
      </w:r>
    </w:p>
    <w:p w14:paraId="0A8B5B39" w14:textId="77777777" w:rsidR="0004385C" w:rsidRDefault="00043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5C" w14:paraId="70280F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375162" w14:textId="77777777" w:rsidR="0004385C" w:rsidRDefault="00043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39CE81" w14:textId="77777777" w:rsidR="0004385C" w:rsidRDefault="00043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B403A7" w14:textId="77777777" w:rsidR="0004385C" w:rsidRDefault="0004385C">
            <w:pPr>
              <w:pStyle w:val="ConsPlusNormal"/>
              <w:jc w:val="center"/>
            </w:pPr>
            <w:r>
              <w:rPr>
                <w:color w:val="392C69"/>
              </w:rPr>
              <w:t>Список изменяющих документов</w:t>
            </w:r>
          </w:p>
          <w:p w14:paraId="30FD00E0" w14:textId="77777777" w:rsidR="0004385C" w:rsidRDefault="0004385C">
            <w:pPr>
              <w:pStyle w:val="ConsPlusNormal"/>
              <w:jc w:val="center"/>
            </w:pPr>
            <w:r>
              <w:rPr>
                <w:color w:val="392C69"/>
              </w:rPr>
              <w:t xml:space="preserve">(в ред. Приказов ФСТ России от 12.10.2011 </w:t>
            </w:r>
            <w:hyperlink r:id="rId17">
              <w:r>
                <w:rPr>
                  <w:color w:val="0000FF"/>
                </w:rPr>
                <w:t>N 245-э/1</w:t>
              </w:r>
            </w:hyperlink>
            <w:r>
              <w:rPr>
                <w:color w:val="392C69"/>
              </w:rPr>
              <w:t>,</w:t>
            </w:r>
          </w:p>
          <w:p w14:paraId="751757BB" w14:textId="77777777" w:rsidR="0004385C" w:rsidRDefault="0004385C">
            <w:pPr>
              <w:pStyle w:val="ConsPlusNormal"/>
              <w:jc w:val="center"/>
            </w:pPr>
            <w:r>
              <w:rPr>
                <w:color w:val="392C69"/>
              </w:rPr>
              <w:t xml:space="preserve">от 31.10.2014 </w:t>
            </w:r>
            <w:hyperlink r:id="rId18">
              <w:r>
                <w:rPr>
                  <w:color w:val="0000FF"/>
                </w:rPr>
                <w:t>N 244-э/6</w:t>
              </w:r>
            </w:hyperlink>
            <w:r>
              <w:rPr>
                <w:color w:val="392C69"/>
              </w:rPr>
              <w:t>,</w:t>
            </w:r>
          </w:p>
          <w:p w14:paraId="1B8D9048" w14:textId="77777777" w:rsidR="0004385C" w:rsidRDefault="0004385C">
            <w:pPr>
              <w:pStyle w:val="ConsPlusNormal"/>
              <w:jc w:val="center"/>
            </w:pPr>
            <w:r>
              <w:rPr>
                <w:color w:val="392C69"/>
              </w:rPr>
              <w:t xml:space="preserve">Приказов ФАС России от 16.07.2021 </w:t>
            </w:r>
            <w:hyperlink r:id="rId19">
              <w:r>
                <w:rPr>
                  <w:color w:val="0000FF"/>
                </w:rPr>
                <w:t>N 690/21</w:t>
              </w:r>
            </w:hyperlink>
            <w:r>
              <w:rPr>
                <w:color w:val="392C69"/>
              </w:rPr>
              <w:t>,</w:t>
            </w:r>
          </w:p>
          <w:p w14:paraId="20E4CAA3" w14:textId="77777777" w:rsidR="0004385C" w:rsidRDefault="0004385C">
            <w:pPr>
              <w:pStyle w:val="ConsPlusNormal"/>
              <w:jc w:val="center"/>
            </w:pPr>
            <w:r>
              <w:rPr>
                <w:color w:val="392C69"/>
              </w:rPr>
              <w:t xml:space="preserve">от 27.04.2024 </w:t>
            </w:r>
            <w:hyperlink r:id="rId20">
              <w:r>
                <w:rPr>
                  <w:color w:val="0000FF"/>
                </w:rPr>
                <w:t>N 296/24</w:t>
              </w:r>
            </w:hyperlink>
            <w:r>
              <w:rPr>
                <w:color w:val="392C69"/>
              </w:rPr>
              <w:t xml:space="preserve">, от 25.04.2025 </w:t>
            </w:r>
            <w:hyperlink r:id="rId21">
              <w:r>
                <w:rPr>
                  <w:color w:val="0000FF"/>
                </w:rPr>
                <w:t>N 308/25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3E96B3" w14:textId="77777777" w:rsidR="0004385C" w:rsidRDefault="0004385C">
            <w:pPr>
              <w:pStyle w:val="ConsPlusNormal"/>
            </w:pPr>
          </w:p>
        </w:tc>
      </w:tr>
    </w:tbl>
    <w:p w14:paraId="4BE547A7" w14:textId="77777777" w:rsidR="0004385C" w:rsidRDefault="0004385C">
      <w:pPr>
        <w:pStyle w:val="ConsPlusNormal"/>
        <w:jc w:val="center"/>
      </w:pPr>
    </w:p>
    <w:p w14:paraId="35FAB732" w14:textId="77777777" w:rsidR="0004385C" w:rsidRDefault="0004385C">
      <w:pPr>
        <w:pStyle w:val="ConsPlusTitle"/>
        <w:jc w:val="center"/>
        <w:outlineLvl w:val="1"/>
      </w:pPr>
      <w:r>
        <w:t>I. Общие положения</w:t>
      </w:r>
    </w:p>
    <w:p w14:paraId="6E52D7B9" w14:textId="77777777" w:rsidR="0004385C" w:rsidRDefault="0004385C">
      <w:pPr>
        <w:pStyle w:val="ConsPlusNormal"/>
        <w:ind w:firstLine="540"/>
        <w:jc w:val="both"/>
      </w:pPr>
    </w:p>
    <w:p w14:paraId="7B2AB6E2" w14:textId="77777777" w:rsidR="0004385C" w:rsidRDefault="0004385C">
      <w:pPr>
        <w:pStyle w:val="ConsPlusNormal"/>
        <w:ind w:firstLine="540"/>
        <w:jc w:val="both"/>
      </w:pPr>
      <w:r>
        <w:t xml:space="preserve">1. Методика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(далее - Методика) разработана во исполнение Федерального </w:t>
      </w:r>
      <w:hyperlink r:id="rId22">
        <w:r>
          <w:rPr>
            <w:color w:val="0000FF"/>
          </w:rPr>
          <w:t>закона</w:t>
        </w:r>
      </w:hyperlink>
      <w:r>
        <w:t xml:space="preserve"> от 31 марта 1999 г.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ст. 21) и </w:t>
      </w:r>
      <w:hyperlink r:id="rId23">
        <w:r>
          <w:rPr>
            <w:color w:val="0000FF"/>
          </w:rPr>
          <w:t>Постановления</w:t>
        </w:r>
      </w:hyperlink>
      <w:r>
        <w:t xml:space="preserve">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w:t>
      </w:r>
    </w:p>
    <w:p w14:paraId="30B704D9" w14:textId="77777777" w:rsidR="0004385C" w:rsidRDefault="0004385C">
      <w:pPr>
        <w:pStyle w:val="ConsPlusNormal"/>
        <w:spacing w:before="220"/>
        <w:ind w:firstLine="540"/>
        <w:jc w:val="both"/>
      </w:pPr>
      <w:r>
        <w:t>2. Методика определяет подходы к определению и порядок расчета размера специальных надбавок к тарифам на транспортировку газа газораспределительными организациями (далее - тарифы на транспортировку газа), для финансирования программ газификации жилищно-коммунального хозяйства (далее - специальные надбавки).</w:t>
      </w:r>
    </w:p>
    <w:p w14:paraId="7841BF56" w14:textId="77777777" w:rsidR="0004385C" w:rsidRDefault="0004385C">
      <w:pPr>
        <w:pStyle w:val="ConsPlusNormal"/>
        <w:spacing w:before="220"/>
        <w:ind w:firstLine="540"/>
        <w:jc w:val="both"/>
      </w:pPr>
      <w:r>
        <w:lastRenderedPageBreak/>
        <w:t>3. Специальные надбавки устанавливаются к тарифам на транспортировку газа для конечных потребителей. Специальные надбавки не устанавливаются к тарифам на транспортировку газа в транзитном потоке и к тарифам на транспортировку газа для населения.</w:t>
      </w:r>
    </w:p>
    <w:p w14:paraId="0D564387" w14:textId="77777777" w:rsidR="0004385C" w:rsidRDefault="0004385C">
      <w:pPr>
        <w:pStyle w:val="ConsPlusNormal"/>
        <w:jc w:val="both"/>
      </w:pPr>
      <w:r>
        <w:t xml:space="preserve">(в ред. </w:t>
      </w:r>
      <w:hyperlink r:id="rId24">
        <w:r>
          <w:rPr>
            <w:color w:val="0000FF"/>
          </w:rPr>
          <w:t>Приказа</w:t>
        </w:r>
      </w:hyperlink>
      <w:r>
        <w:t xml:space="preserve"> ФАС России от 27.04.2024 N 296/24)</w:t>
      </w:r>
    </w:p>
    <w:p w14:paraId="41693A21" w14:textId="77777777" w:rsidR="0004385C" w:rsidRDefault="0004385C">
      <w:pPr>
        <w:pStyle w:val="ConsPlusNormal"/>
        <w:spacing w:before="220"/>
        <w:ind w:firstLine="540"/>
        <w:jc w:val="both"/>
      </w:pPr>
      <w:r>
        <w:t>4. Размер специальной надбавки определяется в рублях и копейках без учета налога на добавленную стоимость на 1000 м3 транспортируемого газа, приведенную к следующим стандартным условиям:</w:t>
      </w:r>
    </w:p>
    <w:p w14:paraId="7CE7E4A4" w14:textId="77777777" w:rsidR="0004385C" w:rsidRDefault="0004385C">
      <w:pPr>
        <w:pStyle w:val="ConsPlusNormal"/>
        <w:spacing w:before="220"/>
        <w:ind w:firstLine="540"/>
        <w:jc w:val="both"/>
      </w:pPr>
      <w:r>
        <w:t>- температура t = 20 °C;</w:t>
      </w:r>
    </w:p>
    <w:p w14:paraId="673B73EB" w14:textId="77777777" w:rsidR="0004385C" w:rsidRDefault="0004385C">
      <w:pPr>
        <w:pStyle w:val="ConsPlusNormal"/>
        <w:spacing w:before="220"/>
        <w:ind w:firstLine="540"/>
        <w:jc w:val="both"/>
      </w:pPr>
      <w:r>
        <w:t xml:space="preserve">- давление p = 760 </w:t>
      </w:r>
      <w:proofErr w:type="spellStart"/>
      <w:r>
        <w:t>мм.рт.ст</w:t>
      </w:r>
      <w:proofErr w:type="spellEnd"/>
      <w:r>
        <w:t>.;</w:t>
      </w:r>
    </w:p>
    <w:p w14:paraId="6EDAE073" w14:textId="77777777" w:rsidR="0004385C" w:rsidRDefault="0004385C">
      <w:pPr>
        <w:pStyle w:val="ConsPlusNormal"/>
        <w:spacing w:before="220"/>
        <w:ind w:firstLine="540"/>
        <w:jc w:val="both"/>
      </w:pPr>
      <w:r>
        <w:t>- влажность = 0%.</w:t>
      </w:r>
    </w:p>
    <w:p w14:paraId="5DE19310" w14:textId="77777777" w:rsidR="0004385C" w:rsidRDefault="0004385C">
      <w:pPr>
        <w:pStyle w:val="ConsPlusNormal"/>
        <w:spacing w:before="220"/>
        <w:ind w:firstLine="540"/>
        <w:jc w:val="both"/>
      </w:pPr>
      <w:r>
        <w:t>5. Средства, полученные в результате применения специальных надбавок, имеют целевой характер и направляются на:</w:t>
      </w:r>
    </w:p>
    <w:p w14:paraId="31D3AD3F" w14:textId="77777777" w:rsidR="0004385C" w:rsidRDefault="0004385C">
      <w:pPr>
        <w:pStyle w:val="ConsPlusNormal"/>
        <w:spacing w:before="220"/>
        <w:ind w:firstLine="540"/>
        <w:jc w:val="both"/>
      </w:pPr>
      <w:r>
        <w:t>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(далее - программы газификации), в том числе на компенсацию затрат, связанных с регистрацией газораспределительной организацией (далее - ГРО) права собственности на объекты газораспределения, ранее являвшиеся бесхозяйными и признанные по решению суда муниципальной собственностью;</w:t>
      </w:r>
    </w:p>
    <w:p w14:paraId="20AA1AF6" w14:textId="77777777" w:rsidR="0004385C" w:rsidRDefault="0004385C">
      <w:pPr>
        <w:pStyle w:val="ConsPlusNormal"/>
        <w:spacing w:before="220"/>
        <w:ind w:firstLine="540"/>
        <w:jc w:val="both"/>
      </w:pPr>
      <w:r>
        <w:t xml:space="preserve">б) компенсацию выпадающих доходов от выполнения мероприятий на осуществление технологического присоединения заявителей, указанных в </w:t>
      </w:r>
      <w:hyperlink r:id="rId25">
        <w:r>
          <w:rPr>
            <w:color w:val="0000FF"/>
          </w:rPr>
          <w:t>абзаце первом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(далее - Основные положения);</w:t>
      </w:r>
    </w:p>
    <w:p w14:paraId="38D91760" w14:textId="77777777" w:rsidR="0004385C" w:rsidRDefault="00043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5C" w14:paraId="651389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286B4" w14:textId="77777777" w:rsidR="0004385C" w:rsidRDefault="00043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D69683" w14:textId="77777777" w:rsidR="0004385C" w:rsidRDefault="00043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58E173" w14:textId="77777777" w:rsidR="0004385C" w:rsidRDefault="0004385C">
            <w:pPr>
              <w:pStyle w:val="ConsPlusNormal"/>
              <w:jc w:val="both"/>
            </w:pPr>
            <w:r>
              <w:rPr>
                <w:color w:val="392C69"/>
              </w:rPr>
              <w:t>КонсультантПлюс: примечание.</w:t>
            </w:r>
          </w:p>
          <w:p w14:paraId="78CDEC04" w14:textId="77777777" w:rsidR="0004385C" w:rsidRDefault="0004385C">
            <w:pPr>
              <w:pStyle w:val="ConsPlusNormal"/>
              <w:jc w:val="both"/>
            </w:pPr>
            <w:proofErr w:type="spellStart"/>
            <w:r>
              <w:rPr>
                <w:color w:val="392C69"/>
              </w:rPr>
              <w:t>Пп</w:t>
            </w:r>
            <w:proofErr w:type="spellEnd"/>
            <w:r>
              <w:rPr>
                <w:color w:val="392C69"/>
              </w:rPr>
              <w:t xml:space="preserve">. "в" п. 5 </w:t>
            </w:r>
            <w:hyperlink w:anchor="P26">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EE43D62" w14:textId="77777777" w:rsidR="0004385C" w:rsidRDefault="0004385C">
            <w:pPr>
              <w:pStyle w:val="ConsPlusNormal"/>
            </w:pPr>
          </w:p>
        </w:tc>
      </w:tr>
    </w:tbl>
    <w:p w14:paraId="3995B114" w14:textId="77777777" w:rsidR="0004385C" w:rsidRDefault="0004385C">
      <w:pPr>
        <w:pStyle w:val="ConsPlusNormal"/>
        <w:spacing w:before="280"/>
        <w:ind w:firstLine="540"/>
        <w:jc w:val="both"/>
      </w:pPr>
      <w:r>
        <w:t xml:space="preserve">в) компенсацию выпадающих доходов от выполнения мероприятий на осуществление технологического присоединения заявителей, указанных в </w:t>
      </w:r>
      <w:hyperlink r:id="rId26">
        <w:r>
          <w:rPr>
            <w:color w:val="0000FF"/>
          </w:rPr>
          <w:t>абзацах втором</w:t>
        </w:r>
      </w:hyperlink>
      <w:r>
        <w:t xml:space="preserve"> - </w:t>
      </w:r>
      <w:hyperlink r:id="rId27">
        <w:r>
          <w:rPr>
            <w:color w:val="0000FF"/>
          </w:rPr>
          <w:t>пятом пункта 26(22)</w:t>
        </w:r>
      </w:hyperlink>
      <w:r>
        <w:t xml:space="preserve"> Основных положений;</w:t>
      </w:r>
    </w:p>
    <w:p w14:paraId="3EB71013" w14:textId="77777777" w:rsidR="0004385C" w:rsidRDefault="0004385C">
      <w:pPr>
        <w:pStyle w:val="ConsPlusNormal"/>
        <w:spacing w:before="220"/>
        <w:ind w:firstLine="540"/>
        <w:jc w:val="both"/>
      </w:pPr>
      <w:r>
        <w:t>г) покрытие расходов ГРО, предназначенных для возврата средств, привлеченных ГРО по договорам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 &lt;1&gt;</w:t>
      </w:r>
    </w:p>
    <w:p w14:paraId="0FF09181" w14:textId="77777777" w:rsidR="0004385C" w:rsidRDefault="0004385C">
      <w:pPr>
        <w:pStyle w:val="ConsPlusNormal"/>
        <w:jc w:val="both"/>
      </w:pPr>
      <w:r>
        <w:t xml:space="preserve">(в ред. </w:t>
      </w:r>
      <w:hyperlink r:id="rId28">
        <w:r>
          <w:rPr>
            <w:color w:val="0000FF"/>
          </w:rPr>
          <w:t>Приказа</w:t>
        </w:r>
      </w:hyperlink>
      <w:r>
        <w:t xml:space="preserve"> ФАС России от 25.04.2025 N 308/25)</w:t>
      </w:r>
    </w:p>
    <w:p w14:paraId="1B0ACB38" w14:textId="77777777" w:rsidR="0004385C" w:rsidRDefault="0004385C">
      <w:pPr>
        <w:pStyle w:val="ConsPlusNormal"/>
        <w:jc w:val="both"/>
      </w:pPr>
      <w:r>
        <w:t xml:space="preserve">(п. 5 в ред. </w:t>
      </w:r>
      <w:hyperlink r:id="rId29">
        <w:r>
          <w:rPr>
            <w:color w:val="0000FF"/>
          </w:rPr>
          <w:t>Приказа</w:t>
        </w:r>
      </w:hyperlink>
      <w:r>
        <w:t xml:space="preserve"> ФАС России от 27.04.2024 N 296/24)</w:t>
      </w:r>
    </w:p>
    <w:p w14:paraId="0822F685" w14:textId="77777777" w:rsidR="0004385C" w:rsidRDefault="0004385C">
      <w:pPr>
        <w:pStyle w:val="ConsPlusNormal"/>
        <w:spacing w:before="220"/>
        <w:ind w:firstLine="540"/>
        <w:jc w:val="both"/>
      </w:pPr>
      <w:r>
        <w:t>--------------------------------</w:t>
      </w:r>
    </w:p>
    <w:p w14:paraId="4057F142" w14:textId="77777777" w:rsidR="0004385C" w:rsidRDefault="0004385C">
      <w:pPr>
        <w:pStyle w:val="ConsPlusNormal"/>
        <w:spacing w:before="220"/>
        <w:ind w:firstLine="540"/>
        <w:jc w:val="both"/>
      </w:pPr>
      <w:r>
        <w:t xml:space="preserve">&lt;1&gt; </w:t>
      </w:r>
      <w:hyperlink r:id="rId30">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w:t>
      </w:r>
      <w:r>
        <w:lastRenderedPageBreak/>
        <w:t xml:space="preserve">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w:t>
      </w:r>
      <w:hyperlink r:id="rId31">
        <w:r>
          <w:rPr>
            <w:color w:val="0000FF"/>
          </w:rPr>
          <w:t>пункт 26(22)</w:t>
        </w:r>
      </w:hyperlink>
      <w:r>
        <w:t xml:space="preserve"> Основных положений.</w:t>
      </w:r>
    </w:p>
    <w:p w14:paraId="08CF3983" w14:textId="77777777" w:rsidR="0004385C" w:rsidRDefault="0004385C">
      <w:pPr>
        <w:pStyle w:val="ConsPlusNormal"/>
        <w:ind w:firstLine="540"/>
        <w:jc w:val="both"/>
      </w:pPr>
    </w:p>
    <w:p w14:paraId="10DE037A" w14:textId="77777777" w:rsidR="0004385C" w:rsidRDefault="0004385C">
      <w:pPr>
        <w:pStyle w:val="ConsPlusTitle"/>
        <w:jc w:val="center"/>
        <w:outlineLvl w:val="1"/>
      </w:pPr>
      <w:r>
        <w:t>II. Определение размера специальных надбавок</w:t>
      </w:r>
    </w:p>
    <w:p w14:paraId="30380B3B" w14:textId="77777777" w:rsidR="0004385C" w:rsidRDefault="0004385C">
      <w:pPr>
        <w:pStyle w:val="ConsPlusNormal"/>
        <w:ind w:firstLine="540"/>
        <w:jc w:val="both"/>
      </w:pPr>
    </w:p>
    <w:p w14:paraId="71139AD7" w14:textId="77777777" w:rsidR="0004385C" w:rsidRDefault="0004385C">
      <w:pPr>
        <w:pStyle w:val="ConsPlusNormal"/>
        <w:ind w:firstLine="540"/>
        <w:jc w:val="both"/>
      </w:pPr>
      <w:bookmarkStart w:id="2" w:name="P77"/>
      <w:bookmarkEnd w:id="2"/>
      <w:r>
        <w:t xml:space="preserve">6. Расчет специальных надбавок производится исходя из получения ГРО планируемого объема выручки в размере, необходимом для реализации программы газификации, в том числе на компенсацию затрат, связанных с регистрацией ГРО права собственности на объекты газораспределения, ранее являвшиеся бесхозяйными и признанные по решению суда муниципальной собственностью, экономически обоснованных расходов на выполнение мероприятий, подлежащих осуществлению в ходе технологического присоединения, указанных в подпунктах "б", "в" и "г" пункта 5 Методики, на компенсацию выпадающих доходов ГРО от оказания услуг по технологическому присоединению заявителей, указанных в </w:t>
      </w:r>
      <w:hyperlink r:id="rId32">
        <w:r>
          <w:rPr>
            <w:color w:val="0000FF"/>
          </w:rPr>
          <w:t>абзаце первом пункта 26(22)</w:t>
        </w:r>
      </w:hyperlink>
      <w:r>
        <w:t xml:space="preserve"> Основных положений, а также на покрытие расходов ГРО, связанных с возвратом привлеченных заемных средств на реализацию мероприятий по технологическому присоединению газоиспользующего оборудования,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 и уплаты возникающего при этом налога на прибыль.</w:t>
      </w:r>
    </w:p>
    <w:p w14:paraId="18282417" w14:textId="77777777" w:rsidR="0004385C" w:rsidRDefault="0004385C">
      <w:pPr>
        <w:pStyle w:val="ConsPlusNormal"/>
        <w:spacing w:before="220"/>
        <w:ind w:firstLine="540"/>
        <w:jc w:val="both"/>
      </w:pPr>
      <w:r>
        <w:t>Указанный размер выручки определяется по следующей формуле:</w:t>
      </w:r>
    </w:p>
    <w:p w14:paraId="56FD551B" w14:textId="77777777" w:rsidR="0004385C" w:rsidRDefault="0004385C">
      <w:pPr>
        <w:pStyle w:val="ConsPlusNormal"/>
        <w:ind w:firstLine="540"/>
        <w:jc w:val="both"/>
      </w:pPr>
    </w:p>
    <w:p w14:paraId="4FB6C2FA" w14:textId="77777777" w:rsidR="0004385C" w:rsidRDefault="0004385C">
      <w:pPr>
        <w:pStyle w:val="ConsPlusNormal"/>
        <w:ind w:firstLine="540"/>
        <w:jc w:val="both"/>
      </w:pPr>
      <w:r>
        <w:rPr>
          <w:noProof/>
          <w:position w:val="-9"/>
        </w:rPr>
        <w:drawing>
          <wp:inline distT="0" distB="0" distL="0" distR="0" wp14:anchorId="03A584AB" wp14:editId="7FDF55C1">
            <wp:extent cx="302831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028315" cy="262255"/>
                    </a:xfrm>
                    <a:prstGeom prst="rect">
                      <a:avLst/>
                    </a:prstGeom>
                    <a:noFill/>
                    <a:ln>
                      <a:noFill/>
                    </a:ln>
                  </pic:spPr>
                </pic:pic>
              </a:graphicData>
            </a:graphic>
          </wp:inline>
        </w:drawing>
      </w:r>
      <w:r>
        <w:t xml:space="preserve"> (1), где:</w:t>
      </w:r>
    </w:p>
    <w:p w14:paraId="3162C651" w14:textId="77777777" w:rsidR="0004385C" w:rsidRDefault="0004385C">
      <w:pPr>
        <w:pStyle w:val="ConsPlusNormal"/>
        <w:ind w:firstLine="540"/>
        <w:jc w:val="both"/>
      </w:pPr>
    </w:p>
    <w:p w14:paraId="355ECE91" w14:textId="77777777" w:rsidR="0004385C" w:rsidRDefault="0004385C">
      <w:pPr>
        <w:pStyle w:val="ConsPlusNormal"/>
        <w:ind w:firstLine="540"/>
        <w:jc w:val="both"/>
      </w:pPr>
      <w:r>
        <w:rPr>
          <w:noProof/>
          <w:position w:val="-8"/>
        </w:rPr>
        <w:drawing>
          <wp:inline distT="0" distB="0" distL="0" distR="0" wp14:anchorId="35E9D1D0" wp14:editId="6622E669">
            <wp:extent cx="335280" cy="251460"/>
            <wp:effectExtent l="0" t="0" r="0" b="0"/>
            <wp:docPr id="1106064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сумма средств, необходимая для финансирования утвержденной программы газификации на период установления специальной надбавки в зоне обслуживания данной ГРО;</w:t>
      </w:r>
    </w:p>
    <w:p w14:paraId="112772E9" w14:textId="77777777" w:rsidR="0004385C" w:rsidRDefault="0004385C">
      <w:pPr>
        <w:pStyle w:val="ConsPlusNormal"/>
        <w:spacing w:before="220"/>
        <w:ind w:firstLine="540"/>
        <w:jc w:val="both"/>
      </w:pPr>
      <w:r>
        <w:rPr>
          <w:noProof/>
          <w:position w:val="-8"/>
        </w:rPr>
        <w:drawing>
          <wp:inline distT="0" distB="0" distL="0" distR="0" wp14:anchorId="63EE3FC8" wp14:editId="4611BC3D">
            <wp:extent cx="419100" cy="251460"/>
            <wp:effectExtent l="0" t="0" r="0" b="0"/>
            <wp:docPr id="1643108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альтернативные источники финансирования утвержденной программы газификации, в том числе средства бюджетов всех уровней, инвестиции сторонних организаций, средства от проведения дополнительных эмиссий акций, плата за подключение и иные источники финансирования. В качестве альтернативных источников финансирования также рассматриваются полученные сверх плана в предыдущем периоде средства от применения специальных надбавок, за исключением случаев, когда указанные средства были израсходованы для финансирования программы газификации жилищно-коммунального хозяйства в предыдущем периоде (финансирование предварительно было предусмотрено с дефицитом или программа была скорректирована с учетом увеличения сбора средств);</w:t>
      </w:r>
    </w:p>
    <w:p w14:paraId="31700D24" w14:textId="77777777" w:rsidR="0004385C" w:rsidRDefault="0004385C">
      <w:pPr>
        <w:pStyle w:val="ConsPlusNormal"/>
        <w:spacing w:before="220"/>
        <w:ind w:firstLine="540"/>
        <w:jc w:val="both"/>
      </w:pPr>
      <w:r>
        <w:rPr>
          <w:noProof/>
          <w:position w:val="-8"/>
        </w:rPr>
        <w:drawing>
          <wp:inline distT="0" distB="0" distL="0" distR="0" wp14:anchorId="316F4F2C" wp14:editId="163D0AC0">
            <wp:extent cx="335280" cy="251460"/>
            <wp:effectExtent l="0" t="0" r="0" b="0"/>
            <wp:docPr id="1465545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выпадающие доходы ГРО, связанные с выполнением мероприятий, подлежащих осуществлению в ходе технологического присоединения, указанных в </w:t>
      </w:r>
      <w:hyperlink r:id="rId37">
        <w:r>
          <w:rPr>
            <w:color w:val="0000FF"/>
          </w:rPr>
          <w:t>абзацах первом</w:t>
        </w:r>
      </w:hyperlink>
      <w:r>
        <w:t xml:space="preserve"> - </w:t>
      </w:r>
      <w:hyperlink r:id="rId38">
        <w:r>
          <w:rPr>
            <w:color w:val="0000FF"/>
          </w:rPr>
          <w:t>пятом пункта 26(22)</w:t>
        </w:r>
      </w:hyperlink>
      <w:r>
        <w:t xml:space="preserve"> Основных положений;</w:t>
      </w:r>
    </w:p>
    <w:p w14:paraId="32B4F645" w14:textId="77777777" w:rsidR="0004385C" w:rsidRDefault="0004385C">
      <w:pPr>
        <w:pStyle w:val="ConsPlusNormal"/>
        <w:spacing w:before="220"/>
        <w:ind w:firstLine="540"/>
        <w:jc w:val="both"/>
      </w:pPr>
      <w:r>
        <w:rPr>
          <w:noProof/>
          <w:position w:val="-8"/>
        </w:rPr>
        <w:drawing>
          <wp:inline distT="0" distB="0" distL="0" distR="0" wp14:anchorId="3ED23154" wp14:editId="20BB4B98">
            <wp:extent cx="346075" cy="251460"/>
            <wp:effectExtent l="0" t="0" r="0" b="0"/>
            <wp:docPr id="1465481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 расходы, связанные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r:id="rId40">
        <w:r>
          <w:rPr>
            <w:color w:val="0000FF"/>
          </w:rPr>
          <w:t>абзаце втором пункта 26(22)</w:t>
        </w:r>
      </w:hyperlink>
      <w:r>
        <w:t xml:space="preserve">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635886E3" w14:textId="77777777" w:rsidR="0004385C" w:rsidRDefault="0004385C">
      <w:pPr>
        <w:pStyle w:val="ConsPlusNormal"/>
        <w:spacing w:before="220"/>
        <w:ind w:firstLine="540"/>
        <w:jc w:val="both"/>
      </w:pPr>
      <w:r>
        <w:rPr>
          <w:noProof/>
          <w:position w:val="-9"/>
        </w:rPr>
        <w:drawing>
          <wp:inline distT="0" distB="0" distL="0" distR="0" wp14:anchorId="4C4FC528" wp14:editId="2B4B7F8D">
            <wp:extent cx="419100" cy="262255"/>
            <wp:effectExtent l="0" t="0" r="0" b="0"/>
            <wp:docPr id="1614970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расчетная плановая сумма налога на прибыль, возникающего от увеличения выручки ГРО в связи с введением специальной надбавки;</w:t>
      </w:r>
    </w:p>
    <w:p w14:paraId="563B99CA" w14:textId="77777777" w:rsidR="0004385C" w:rsidRDefault="0004385C">
      <w:pPr>
        <w:pStyle w:val="ConsPlusNormal"/>
        <w:spacing w:before="220"/>
        <w:ind w:firstLine="540"/>
        <w:jc w:val="both"/>
      </w:pPr>
      <w:r>
        <w:rPr>
          <w:noProof/>
          <w:position w:val="-9"/>
        </w:rPr>
        <w:lastRenderedPageBreak/>
        <w:drawing>
          <wp:inline distT="0" distB="0" distL="0" distR="0" wp14:anchorId="0A690CE8" wp14:editId="7B20DB19">
            <wp:extent cx="367030" cy="262255"/>
            <wp:effectExtent l="0" t="0" r="0" b="0"/>
            <wp:docPr id="1559170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расчетная плановая сумма налога, уплачиваемого в соответствии с </w:t>
      </w:r>
      <w:hyperlink r:id="rId43">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w:t>
      </w:r>
    </w:p>
    <w:p w14:paraId="4787C6BB" w14:textId="77777777" w:rsidR="0004385C" w:rsidRDefault="0004385C">
      <w:pPr>
        <w:pStyle w:val="ConsPlusNormal"/>
        <w:jc w:val="both"/>
      </w:pPr>
      <w:r>
        <w:t xml:space="preserve">(п. 6 в ред. </w:t>
      </w:r>
      <w:hyperlink r:id="rId44">
        <w:r>
          <w:rPr>
            <w:color w:val="0000FF"/>
          </w:rPr>
          <w:t>Приказа</w:t>
        </w:r>
      </w:hyperlink>
      <w:r>
        <w:t xml:space="preserve"> ФАС России от 27.04.2024 N 296/24)</w:t>
      </w:r>
    </w:p>
    <w:p w14:paraId="3EDFC070" w14:textId="77777777" w:rsidR="0004385C" w:rsidRDefault="0004385C">
      <w:pPr>
        <w:pStyle w:val="ConsPlusNormal"/>
        <w:spacing w:before="220"/>
        <w:ind w:firstLine="540"/>
        <w:jc w:val="both"/>
      </w:pPr>
      <w:r>
        <w:t>7. Сумма инвестиций по программе газификации может рассматриваться как с учетом налога на добавленную стоимость, так и без него. В случае если стоимость работ, включенных в программу газификации, определена с учетом налога на добавленную стоимость, в составе альтернативных источников финансирования учитывается возврат из бюджета налога на добавленную стоимость после ввода в эксплуатацию объектов, строительство которых предусмотрено программой газификации, финансируемой за счет средств специальной надбавки.</w:t>
      </w:r>
    </w:p>
    <w:p w14:paraId="28E64DA0" w14:textId="77777777" w:rsidR="0004385C" w:rsidRDefault="0004385C">
      <w:pPr>
        <w:pStyle w:val="ConsPlusNormal"/>
        <w:spacing w:before="220"/>
        <w:ind w:firstLine="540"/>
        <w:jc w:val="both"/>
      </w:pPr>
      <w:r>
        <w:t xml:space="preserve">8. Расчетная плановая сумма налога на прибыль (налога, уплачиваемого в соответствии с </w:t>
      </w:r>
      <w:hyperlink r:id="rId45">
        <w:r>
          <w:rPr>
            <w:color w:val="0000FF"/>
          </w:rPr>
          <w:t>главой 26.2</w:t>
        </w:r>
      </w:hyperlink>
      <w:r>
        <w:t xml:space="preserve"> Налогового кодекса Российской Федерации), возникающего от увеличения выручки в связи с введением специальной надбавки, определяется исходя из условия обеспечения организации, осуществляющей регулируемый вид деятельности, получения необходимого объема чистой прибыли для финансирования программы газификации по следующей формуле:</w:t>
      </w:r>
    </w:p>
    <w:p w14:paraId="263CAACC" w14:textId="77777777" w:rsidR="0004385C" w:rsidRDefault="0004385C">
      <w:pPr>
        <w:pStyle w:val="ConsPlusNormal"/>
        <w:ind w:firstLine="540"/>
        <w:jc w:val="both"/>
      </w:pPr>
    </w:p>
    <w:p w14:paraId="00712C61" w14:textId="77777777" w:rsidR="0004385C" w:rsidRDefault="0004385C">
      <w:pPr>
        <w:pStyle w:val="ConsPlusNormal"/>
        <w:jc w:val="center"/>
      </w:pPr>
      <w:r>
        <w:rPr>
          <w:noProof/>
          <w:position w:val="-29"/>
        </w:rPr>
        <w:drawing>
          <wp:inline distT="0" distB="0" distL="0" distR="0" wp14:anchorId="36823E7A" wp14:editId="3DA3937B">
            <wp:extent cx="4013200" cy="513715"/>
            <wp:effectExtent l="0" t="0" r="0" b="0"/>
            <wp:docPr id="18666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4013200" cy="513715"/>
                    </a:xfrm>
                    <a:prstGeom prst="rect">
                      <a:avLst/>
                    </a:prstGeom>
                    <a:noFill/>
                    <a:ln>
                      <a:noFill/>
                    </a:ln>
                  </pic:spPr>
                </pic:pic>
              </a:graphicData>
            </a:graphic>
          </wp:inline>
        </w:drawing>
      </w:r>
      <w:r>
        <w:t xml:space="preserve"> (2), где:</w:t>
      </w:r>
    </w:p>
    <w:p w14:paraId="10C037AB" w14:textId="77777777" w:rsidR="0004385C" w:rsidRDefault="0004385C">
      <w:pPr>
        <w:pStyle w:val="ConsPlusNormal"/>
        <w:ind w:firstLine="540"/>
        <w:jc w:val="both"/>
      </w:pPr>
    </w:p>
    <w:p w14:paraId="392457F7" w14:textId="77777777" w:rsidR="0004385C" w:rsidRDefault="0004385C">
      <w:pPr>
        <w:pStyle w:val="ConsPlusNormal"/>
        <w:ind w:firstLine="540"/>
        <w:jc w:val="both"/>
      </w:pPr>
      <w:r>
        <w:rPr>
          <w:noProof/>
          <w:position w:val="-8"/>
        </w:rPr>
        <w:drawing>
          <wp:inline distT="0" distB="0" distL="0" distR="0" wp14:anchorId="475DA243" wp14:editId="6E26B03D">
            <wp:extent cx="325120" cy="251460"/>
            <wp:effectExtent l="0" t="0" r="0" b="0"/>
            <wp:docPr id="1473543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 расходы, связанные с осуществлением программы газификации, учитывающиеся в налоговом учете (уменьшающие налогооблагаемую базу по налогу на прибыль);</w:t>
      </w:r>
    </w:p>
    <w:p w14:paraId="424F7097" w14:textId="77777777" w:rsidR="0004385C" w:rsidRDefault="0004385C">
      <w:pPr>
        <w:pStyle w:val="ConsPlusNormal"/>
        <w:spacing w:before="220"/>
        <w:ind w:firstLine="540"/>
        <w:jc w:val="both"/>
      </w:pPr>
      <w:r>
        <w:rPr>
          <w:noProof/>
          <w:position w:val="-9"/>
        </w:rPr>
        <w:drawing>
          <wp:inline distT="0" distB="0" distL="0" distR="0" wp14:anchorId="5D441470" wp14:editId="17D0E555">
            <wp:extent cx="408940" cy="262255"/>
            <wp:effectExtent l="0" t="0" r="0" b="0"/>
            <wp:docPr id="1729375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ставка начисления налога на прибыль;</w:t>
      </w:r>
    </w:p>
    <w:p w14:paraId="7C9F2885" w14:textId="77777777" w:rsidR="0004385C" w:rsidRDefault="0004385C">
      <w:pPr>
        <w:pStyle w:val="ConsPlusNormal"/>
        <w:spacing w:before="220"/>
        <w:ind w:firstLine="540"/>
        <w:jc w:val="both"/>
      </w:pPr>
      <w:r>
        <w:rPr>
          <w:noProof/>
          <w:position w:val="-9"/>
        </w:rPr>
        <w:drawing>
          <wp:inline distT="0" distB="0" distL="0" distR="0" wp14:anchorId="43FA9CC9" wp14:editId="005D99A0">
            <wp:extent cx="346075" cy="262255"/>
            <wp:effectExtent l="0" t="0" r="0" b="0"/>
            <wp:docPr id="1611722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ставка начисления налога, установленная </w:t>
      </w:r>
      <w:hyperlink r:id="rId50">
        <w:r>
          <w:rPr>
            <w:color w:val="0000FF"/>
          </w:rPr>
          <w:t>главой 26.2</w:t>
        </w:r>
      </w:hyperlink>
      <w:r>
        <w:t xml:space="preserve"> Налогового кодекса Российской Федерации.</w:t>
      </w:r>
    </w:p>
    <w:p w14:paraId="00E26417" w14:textId="77777777" w:rsidR="0004385C" w:rsidRDefault="0004385C">
      <w:pPr>
        <w:pStyle w:val="ConsPlusNormal"/>
        <w:spacing w:before="220"/>
        <w:ind w:firstLine="540"/>
        <w:jc w:val="both"/>
      </w:pPr>
      <w:r>
        <w:t xml:space="preserve">В случае, если объектом налогообложения по упрощенной системе налогообложения являются доходы, расчетная плановая сумма налога, уплачиваемого в соответствии с </w:t>
      </w:r>
      <w:hyperlink r:id="rId51">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 определяется по следующей формуле:</w:t>
      </w:r>
    </w:p>
    <w:p w14:paraId="08267DE2" w14:textId="77777777" w:rsidR="0004385C" w:rsidRDefault="0004385C">
      <w:pPr>
        <w:pStyle w:val="ConsPlusNormal"/>
        <w:ind w:firstLine="540"/>
        <w:jc w:val="both"/>
      </w:pPr>
    </w:p>
    <w:p w14:paraId="47B7EB11" w14:textId="77777777" w:rsidR="0004385C" w:rsidRDefault="0004385C">
      <w:pPr>
        <w:pStyle w:val="ConsPlusNormal"/>
        <w:jc w:val="center"/>
      </w:pPr>
      <w:r>
        <w:rPr>
          <w:noProof/>
          <w:position w:val="-29"/>
        </w:rPr>
        <w:drawing>
          <wp:inline distT="0" distB="0" distL="0" distR="0" wp14:anchorId="21DB30FF" wp14:editId="70F35E02">
            <wp:extent cx="2975610" cy="513715"/>
            <wp:effectExtent l="0" t="0" r="0" b="0"/>
            <wp:docPr id="91294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2975610" cy="513715"/>
                    </a:xfrm>
                    <a:prstGeom prst="rect">
                      <a:avLst/>
                    </a:prstGeom>
                    <a:noFill/>
                    <a:ln>
                      <a:noFill/>
                    </a:ln>
                  </pic:spPr>
                </pic:pic>
              </a:graphicData>
            </a:graphic>
          </wp:inline>
        </w:drawing>
      </w:r>
      <w:r>
        <w:t xml:space="preserve"> (2.1).</w:t>
      </w:r>
    </w:p>
    <w:p w14:paraId="75C1D7B5" w14:textId="77777777" w:rsidR="0004385C" w:rsidRDefault="0004385C">
      <w:pPr>
        <w:pStyle w:val="ConsPlusNormal"/>
        <w:jc w:val="both"/>
      </w:pPr>
      <w:r>
        <w:t xml:space="preserve">(п. 8 в ред. </w:t>
      </w:r>
      <w:hyperlink r:id="rId53">
        <w:r>
          <w:rPr>
            <w:color w:val="0000FF"/>
          </w:rPr>
          <w:t>Приказа</w:t>
        </w:r>
      </w:hyperlink>
      <w:r>
        <w:t xml:space="preserve"> ФАС России от 27.04.2024 N 296/24)</w:t>
      </w:r>
    </w:p>
    <w:p w14:paraId="287D2BE6" w14:textId="77777777" w:rsidR="0004385C" w:rsidRDefault="0004385C">
      <w:pPr>
        <w:pStyle w:val="ConsPlusNormal"/>
        <w:jc w:val="both"/>
      </w:pPr>
    </w:p>
    <w:p w14:paraId="6509D4D1" w14:textId="77777777" w:rsidR="0004385C" w:rsidRDefault="0004385C">
      <w:pPr>
        <w:pStyle w:val="ConsPlusNormal"/>
        <w:ind w:firstLine="540"/>
        <w:jc w:val="both"/>
      </w:pPr>
      <w:r>
        <w:t>9. Специальные надбавки, рассчитанные в соответствии с настоящей Методикой, могут дифференцироваться по группам конечных потребителей, по которым осуществляется дифференцирование тарифов на транспортировку газа, а также по нескольким технологически обособленным системам газораспределения, для которых осуществляется дифференцирование тарифов на транспортировку газа.</w:t>
      </w:r>
    </w:p>
    <w:p w14:paraId="453653F5" w14:textId="77777777" w:rsidR="0004385C" w:rsidRDefault="0004385C">
      <w:pPr>
        <w:pStyle w:val="ConsPlusNormal"/>
        <w:jc w:val="both"/>
      </w:pPr>
      <w:r>
        <w:t xml:space="preserve">(в ред. </w:t>
      </w:r>
      <w:hyperlink r:id="rId54">
        <w:r>
          <w:rPr>
            <w:color w:val="0000FF"/>
          </w:rPr>
          <w:t>Приказа</w:t>
        </w:r>
      </w:hyperlink>
      <w:r>
        <w:t xml:space="preserve"> ФСТ России от 12.10.2011 N 245-э/1)</w:t>
      </w:r>
    </w:p>
    <w:p w14:paraId="503FA569" w14:textId="77777777" w:rsidR="0004385C" w:rsidRDefault="0004385C">
      <w:pPr>
        <w:pStyle w:val="ConsPlusNormal"/>
        <w:spacing w:before="220"/>
        <w:ind w:firstLine="540"/>
        <w:jc w:val="both"/>
      </w:pPr>
      <w:r>
        <w:t xml:space="preserve">10. Если специальные надбавки устанавливаются дифференцированно по группам конечных потребителей, отнесение конечных потребителей (кроме населения) к группам, по которым дифференцируется специальная надбавка, для целей ее расчета и применения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w:t>
      </w:r>
      <w:r>
        <w:lastRenderedPageBreak/>
        <w:t>транспортировки, поставки газа, а также 3-сторонние договоры между ГРО, поставщиком газа и его потребителем),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дифференцируется специальная надбавка, для целей ее применения осуществляется исходя из:</w:t>
      </w:r>
    </w:p>
    <w:p w14:paraId="34B98AF5" w14:textId="77777777" w:rsidR="0004385C" w:rsidRDefault="0004385C">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на неполный год вследствие ввода в эксплуатацию нового газоиспользующего оборудования (далее - новый конечный потребитель);</w:t>
      </w:r>
    </w:p>
    <w:p w14:paraId="4D149C5D" w14:textId="77777777" w:rsidR="0004385C" w:rsidRDefault="0004385C">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2ABF80F1" w14:textId="77777777" w:rsidR="0004385C" w:rsidRDefault="0004385C">
      <w:pPr>
        <w:pStyle w:val="ConsPlusNormal"/>
        <w:spacing w:before="220"/>
        <w:ind w:firstLine="540"/>
        <w:jc w:val="both"/>
      </w:pPr>
      <w:r>
        <w:t>Пересчет объема газа на год в случае, если договор заключается с новым конечным потребителем на неполный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0FC25946" w14:textId="77777777" w:rsidR="0004385C" w:rsidRDefault="0004385C">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специальная надбавка,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2DE77CFE" w14:textId="77777777" w:rsidR="0004385C" w:rsidRDefault="0004385C">
      <w:pPr>
        <w:pStyle w:val="ConsPlusNormal"/>
        <w:jc w:val="both"/>
      </w:pPr>
      <w:r>
        <w:t xml:space="preserve">(в ред. </w:t>
      </w:r>
      <w:hyperlink r:id="rId55">
        <w:r>
          <w:rPr>
            <w:color w:val="0000FF"/>
          </w:rPr>
          <w:t>Приказа</w:t>
        </w:r>
      </w:hyperlink>
      <w:r>
        <w:t xml:space="preserve"> ФСТ России от 12.10.2011 N 245-э/1)</w:t>
      </w:r>
    </w:p>
    <w:p w14:paraId="24B2D658" w14:textId="77777777" w:rsidR="0004385C" w:rsidRDefault="0004385C">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7BD5BF0A" w14:textId="77777777" w:rsidR="0004385C" w:rsidRDefault="0004385C">
      <w:pPr>
        <w:pStyle w:val="ConsPlusNormal"/>
        <w:spacing w:before="220"/>
        <w:ind w:firstLine="540"/>
        <w:jc w:val="both"/>
      </w:pPr>
      <w:r>
        <w:t>Если через одну точку подключения сетей конечных потребителей к газораспределительным сетям газ поставляется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то в целях отнесения такого конечного потребителя к группам, по которым дифференцируется размер платы за снабженческо-сбытовые услуги поставщика, используется суммарный объем поставки газа, определенный на основании приведенных выше в данном пункте методов.</w:t>
      </w:r>
    </w:p>
    <w:p w14:paraId="520ED100" w14:textId="77777777" w:rsidR="0004385C" w:rsidRDefault="0004385C">
      <w:pPr>
        <w:pStyle w:val="ConsPlusNormal"/>
        <w:spacing w:before="220"/>
        <w:ind w:firstLine="540"/>
        <w:jc w:val="both"/>
      </w:pPr>
      <w:r>
        <w:t xml:space="preserve">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w:t>
      </w:r>
      <w:r>
        <w:lastRenderedPageBreak/>
        <w:t>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1D74DC45" w14:textId="77777777" w:rsidR="0004385C" w:rsidRDefault="0004385C">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специальной надбавки в соответствии с алгоритмом, приведенным в </w:t>
      </w:r>
      <w:hyperlink w:anchor="P139">
        <w:r>
          <w:rPr>
            <w:color w:val="0000FF"/>
          </w:rPr>
          <w:t>пункте 14</w:t>
        </w:r>
      </w:hyperlink>
      <w:r>
        <w:t xml:space="preserve"> настоящей Методики.</w:t>
      </w:r>
    </w:p>
    <w:p w14:paraId="273312CB" w14:textId="77777777" w:rsidR="0004385C" w:rsidRDefault="0004385C">
      <w:pPr>
        <w:pStyle w:val="ConsPlusNormal"/>
        <w:spacing w:before="220"/>
        <w:ind w:firstLine="540"/>
        <w:jc w:val="both"/>
      </w:pPr>
      <w:r>
        <w:t>11. Расчет среднего размера специальной надбавки (</w:t>
      </w:r>
      <w:r>
        <w:rPr>
          <w:noProof/>
          <w:position w:val="-11"/>
        </w:rPr>
        <w:drawing>
          <wp:inline distT="0" distB="0" distL="0" distR="0" wp14:anchorId="436A63DE" wp14:editId="63862046">
            <wp:extent cx="335280" cy="285115"/>
            <wp:effectExtent l="0" t="0" r="0" b="0"/>
            <wp:docPr id="625098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осуществляется по следующей формуле:</w:t>
      </w:r>
    </w:p>
    <w:p w14:paraId="6D64B369" w14:textId="77777777" w:rsidR="0004385C" w:rsidRDefault="0004385C">
      <w:pPr>
        <w:pStyle w:val="ConsPlusNormal"/>
        <w:ind w:firstLine="540"/>
        <w:jc w:val="both"/>
      </w:pPr>
    </w:p>
    <w:p w14:paraId="4B43AFCA" w14:textId="77777777" w:rsidR="0004385C" w:rsidRDefault="0004385C">
      <w:pPr>
        <w:pStyle w:val="ConsPlusNormal"/>
        <w:ind w:firstLine="540"/>
        <w:jc w:val="both"/>
      </w:pPr>
      <w:r>
        <w:rPr>
          <w:noProof/>
          <w:position w:val="-24"/>
        </w:rPr>
        <w:drawing>
          <wp:inline distT="0" distB="0" distL="0" distR="0" wp14:anchorId="2B911B76" wp14:editId="78D74545">
            <wp:extent cx="906780" cy="450850"/>
            <wp:effectExtent l="0" t="0" r="0" b="0"/>
            <wp:docPr id="1004066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906780" cy="450850"/>
                    </a:xfrm>
                    <a:prstGeom prst="rect">
                      <a:avLst/>
                    </a:prstGeom>
                    <a:noFill/>
                    <a:ln>
                      <a:noFill/>
                    </a:ln>
                  </pic:spPr>
                </pic:pic>
              </a:graphicData>
            </a:graphic>
          </wp:inline>
        </w:drawing>
      </w:r>
      <w:r>
        <w:t xml:space="preserve"> (3)</w:t>
      </w:r>
    </w:p>
    <w:p w14:paraId="7EBBC0E7" w14:textId="77777777" w:rsidR="0004385C" w:rsidRDefault="0004385C">
      <w:pPr>
        <w:pStyle w:val="ConsPlusNormal"/>
        <w:ind w:firstLine="540"/>
        <w:jc w:val="both"/>
      </w:pPr>
    </w:p>
    <w:p w14:paraId="03E46D09" w14:textId="77777777" w:rsidR="0004385C" w:rsidRDefault="0004385C">
      <w:pPr>
        <w:pStyle w:val="ConsPlusNormal"/>
        <w:ind w:firstLine="540"/>
        <w:jc w:val="both"/>
      </w:pPr>
      <w:r>
        <w:t>где:</w:t>
      </w:r>
    </w:p>
    <w:p w14:paraId="6D37A358" w14:textId="77777777" w:rsidR="0004385C" w:rsidRDefault="0004385C">
      <w:pPr>
        <w:pStyle w:val="ConsPlusNormal"/>
        <w:spacing w:before="220"/>
        <w:ind w:firstLine="540"/>
        <w:jc w:val="both"/>
      </w:pPr>
      <w:r>
        <w:t>V - суммарный объем транспортировки газа конечным потребителям, для групп которых устанавливается специальная надбавка, по распределительным сетям ГРО на территории рассматриваемого субъекта Российской Федерации на период установления специальной надбавки. Объемы транспортировки газа для расчета принимаются на уровне прогнозных на период регулирования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w:t>
      </w:r>
    </w:p>
    <w:p w14:paraId="0A826633" w14:textId="77777777" w:rsidR="0004385C" w:rsidRDefault="0004385C">
      <w:pPr>
        <w:pStyle w:val="ConsPlusNormal"/>
        <w:spacing w:before="220"/>
        <w:ind w:firstLine="540"/>
        <w:jc w:val="both"/>
      </w:pPr>
      <w:r>
        <w:t>Если период установления специальных надбавок совпадает с периодом установления тарифов на услуги данной ГРО на транспортировку газа, объемы транспортировки газа принимаются на уровне, принятом ФСТ России для целей расчета тарифов на транспортировку.</w:t>
      </w:r>
    </w:p>
    <w:p w14:paraId="4797767D" w14:textId="77777777" w:rsidR="0004385C" w:rsidRDefault="0004385C">
      <w:pPr>
        <w:pStyle w:val="ConsPlusNormal"/>
        <w:spacing w:before="220"/>
        <w:ind w:firstLine="540"/>
        <w:jc w:val="both"/>
      </w:pPr>
      <w:bookmarkStart w:id="3" w:name="P121"/>
      <w:bookmarkEnd w:id="3"/>
      <w:r>
        <w:t xml:space="preserve">12. Средний размер специальной надбавки для соответствующей ГРО не может превышать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рассчитываемого в соответствии с методическими указаниями, утверждаемыми Федеральной антимонопольной службой в соответствии с </w:t>
      </w:r>
      <w:hyperlink r:id="rId58">
        <w:r>
          <w:rPr>
            <w:color w:val="0000FF"/>
          </w:rPr>
          <w:t>пунктом 10</w:t>
        </w:r>
      </w:hyperlink>
      <w:r>
        <w:t xml:space="preserve"> Основных положений.</w:t>
      </w:r>
    </w:p>
    <w:p w14:paraId="18A96996" w14:textId="77777777" w:rsidR="0004385C" w:rsidRDefault="0004385C">
      <w:pPr>
        <w:pStyle w:val="ConsPlusNormal"/>
        <w:jc w:val="both"/>
      </w:pPr>
      <w:r>
        <w:t xml:space="preserve">(в ред. Приказов ФАС России от 27.04.2024 </w:t>
      </w:r>
      <w:hyperlink r:id="rId59">
        <w:r>
          <w:rPr>
            <w:color w:val="0000FF"/>
          </w:rPr>
          <w:t>N 296/24</w:t>
        </w:r>
      </w:hyperlink>
      <w:r>
        <w:t xml:space="preserve">, от 25.04.2025 </w:t>
      </w:r>
      <w:hyperlink r:id="rId60">
        <w:r>
          <w:rPr>
            <w:color w:val="0000FF"/>
          </w:rPr>
          <w:t>N 308/25</w:t>
        </w:r>
      </w:hyperlink>
      <w:r>
        <w:t>)</w:t>
      </w:r>
    </w:p>
    <w:p w14:paraId="3644609B" w14:textId="77777777" w:rsidR="0004385C" w:rsidRDefault="0004385C">
      <w:pPr>
        <w:pStyle w:val="ConsPlusNormal"/>
        <w:spacing w:before="220"/>
        <w:ind w:firstLine="540"/>
        <w:jc w:val="both"/>
      </w:pPr>
      <w:r>
        <w:t>В случае, если тарифы на транспортировку газа установлены дифференцированно для нескольких технологически обособленных систем газораспределения, средний размер специальной надбавки не может превышать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по каждой из указанных систем газораспределения.</w:t>
      </w:r>
    </w:p>
    <w:p w14:paraId="783AEE3A" w14:textId="77777777" w:rsidR="0004385C" w:rsidRDefault="0004385C">
      <w:pPr>
        <w:pStyle w:val="ConsPlusNormal"/>
        <w:jc w:val="both"/>
      </w:pPr>
      <w:r>
        <w:t xml:space="preserve">(в ред. </w:t>
      </w:r>
      <w:hyperlink r:id="rId61">
        <w:r>
          <w:rPr>
            <w:color w:val="0000FF"/>
          </w:rPr>
          <w:t>Приказа</w:t>
        </w:r>
      </w:hyperlink>
      <w:r>
        <w:t xml:space="preserve"> ФАС России от 25.04.2025 N 308/25)</w:t>
      </w:r>
    </w:p>
    <w:p w14:paraId="07D211B2" w14:textId="77777777" w:rsidR="0004385C" w:rsidRDefault="0004385C">
      <w:pPr>
        <w:pStyle w:val="ConsPlusNormal"/>
        <w:spacing w:before="220"/>
        <w:ind w:firstLine="540"/>
        <w:jc w:val="both"/>
      </w:pPr>
      <w:bookmarkStart w:id="4" w:name="P125"/>
      <w:bookmarkEnd w:id="4"/>
      <w:r>
        <w:t xml:space="preserve">Размер специальной надбавки не может превышать долю от тарифа на транспортировку газа, установленного для соответствующей группы конечных потребителей согласно </w:t>
      </w:r>
      <w:hyperlink w:anchor="P232">
        <w:r>
          <w:rPr>
            <w:color w:val="0000FF"/>
          </w:rPr>
          <w:t>приложению</w:t>
        </w:r>
      </w:hyperlink>
      <w:r>
        <w:t xml:space="preserve"> к настоящей Методике. Данные ограничения не распространяются на соотношения размера специальной надбавки и:</w:t>
      </w:r>
    </w:p>
    <w:p w14:paraId="20FD9F6D" w14:textId="77777777" w:rsidR="0004385C" w:rsidRDefault="0004385C">
      <w:pPr>
        <w:pStyle w:val="ConsPlusNormal"/>
        <w:spacing w:before="220"/>
        <w:ind w:firstLine="540"/>
        <w:jc w:val="both"/>
      </w:pPr>
      <w:r>
        <w:t>- установленных тарифов на транспортировку газа для 1а (свыше 1 млрд. м</w:t>
      </w:r>
      <w:r>
        <w:rPr>
          <w:vertAlign w:val="superscript"/>
        </w:rPr>
        <w:t>3</w:t>
      </w:r>
      <w:r>
        <w:t xml:space="preserve"> газа в год), 1-й (от </w:t>
      </w:r>
      <w:r>
        <w:lastRenderedPageBreak/>
        <w:t>500 млн. м</w:t>
      </w:r>
      <w:r>
        <w:rPr>
          <w:vertAlign w:val="superscript"/>
        </w:rPr>
        <w:t>3</w:t>
      </w:r>
      <w:r>
        <w:t xml:space="preserve"> до 1 млрд. м</w:t>
      </w:r>
      <w:r>
        <w:rPr>
          <w:vertAlign w:val="superscript"/>
        </w:rPr>
        <w:t>3</w:t>
      </w:r>
      <w:r>
        <w:t xml:space="preserve"> газа в год включительно), 2-й (от 100 млн. м</w:t>
      </w:r>
      <w:r>
        <w:rPr>
          <w:vertAlign w:val="superscript"/>
        </w:rPr>
        <w:t>3</w:t>
      </w:r>
      <w:r>
        <w:t xml:space="preserve"> до 500 млн. м</w:t>
      </w:r>
      <w:r>
        <w:rPr>
          <w:vertAlign w:val="superscript"/>
        </w:rPr>
        <w:t>3</w:t>
      </w:r>
      <w:r>
        <w:t xml:space="preserve"> газа в год включительно), 3-й (от 10 млн. м</w:t>
      </w:r>
      <w:r>
        <w:rPr>
          <w:vertAlign w:val="superscript"/>
        </w:rPr>
        <w:t>3</w:t>
      </w:r>
      <w:r>
        <w:t xml:space="preserve"> до 100 млн. м</w:t>
      </w:r>
      <w:r>
        <w:rPr>
          <w:vertAlign w:val="superscript"/>
        </w:rPr>
        <w:t>3</w:t>
      </w:r>
      <w:r>
        <w:t xml:space="preserve"> газа в год включительно) групп конечных потребителей газа, если транспортировка газа таким конечным потребителям не осуществляется;</w:t>
      </w:r>
    </w:p>
    <w:p w14:paraId="3CD9D032" w14:textId="77777777" w:rsidR="0004385C" w:rsidRDefault="0004385C">
      <w:pPr>
        <w:pStyle w:val="ConsPlusNormal"/>
        <w:spacing w:before="220"/>
        <w:ind w:firstLine="540"/>
        <w:jc w:val="both"/>
      </w:pPr>
      <w:r>
        <w:t>- установленных дифференцированно тарифов на транспортировку газа конечным потребителям, которые перешли (полностью или частично) в группу с более высоким коэффициентом сложности обслуживания системы газораспределения после изменения принципов отнесения к группам.</w:t>
      </w:r>
    </w:p>
    <w:p w14:paraId="0B14DF77" w14:textId="77777777" w:rsidR="0004385C" w:rsidRDefault="0004385C">
      <w:pPr>
        <w:pStyle w:val="ConsPlusNormal"/>
        <w:spacing w:before="220"/>
        <w:ind w:firstLine="540"/>
        <w:jc w:val="both"/>
      </w:pPr>
      <w:r>
        <w:t xml:space="preserve">Указанные в </w:t>
      </w:r>
      <w:hyperlink w:anchor="P121">
        <w:r>
          <w:rPr>
            <w:color w:val="0000FF"/>
          </w:rPr>
          <w:t>абзацах первом</w:t>
        </w:r>
      </w:hyperlink>
      <w:r>
        <w:t xml:space="preserve"> - </w:t>
      </w:r>
      <w:hyperlink w:anchor="P125">
        <w:r>
          <w:rPr>
            <w:color w:val="0000FF"/>
          </w:rPr>
          <w:t>третьем</w:t>
        </w:r>
      </w:hyperlink>
      <w:r>
        <w:t xml:space="preserve"> настоящего пункта ограничения не распространяются на размеры специальных надбавок, устанавливаемых к тарифам на транспортировку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3ACD8EC7" w14:textId="77777777" w:rsidR="0004385C" w:rsidRDefault="0004385C">
      <w:pPr>
        <w:pStyle w:val="ConsPlusNormal"/>
        <w:jc w:val="both"/>
      </w:pPr>
      <w:r>
        <w:t xml:space="preserve">(в ред. </w:t>
      </w:r>
      <w:hyperlink r:id="rId62">
        <w:r>
          <w:rPr>
            <w:color w:val="0000FF"/>
          </w:rPr>
          <w:t>Приказа</w:t>
        </w:r>
      </w:hyperlink>
      <w:r>
        <w:t xml:space="preserve"> ФАС России от 27.04.2024 N 296/24)</w:t>
      </w:r>
    </w:p>
    <w:p w14:paraId="7AEB4B1F" w14:textId="77777777" w:rsidR="0004385C" w:rsidRDefault="0004385C">
      <w:pPr>
        <w:pStyle w:val="ConsPlusNormal"/>
        <w:spacing w:before="220"/>
        <w:ind w:firstLine="540"/>
        <w:jc w:val="both"/>
      </w:pPr>
      <w:r>
        <w:t>Установление среднего размера специальной надбавки, превышающего 50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допускается исключительно по согласованию исполнительного органа субъекта Российской Федерации с Федеральной антимонопольной службой в соответствии с Методикой. &lt;2&gt;</w:t>
      </w:r>
    </w:p>
    <w:p w14:paraId="2FADD481" w14:textId="77777777" w:rsidR="0004385C" w:rsidRDefault="0004385C">
      <w:pPr>
        <w:pStyle w:val="ConsPlusNormal"/>
        <w:jc w:val="both"/>
      </w:pPr>
      <w:r>
        <w:t xml:space="preserve">(абзац введен </w:t>
      </w:r>
      <w:hyperlink r:id="rId63">
        <w:r>
          <w:rPr>
            <w:color w:val="0000FF"/>
          </w:rPr>
          <w:t>Приказом</w:t>
        </w:r>
      </w:hyperlink>
      <w:r>
        <w:t xml:space="preserve"> ФАС России от 27.04.2024 N 296/24; в ред. </w:t>
      </w:r>
      <w:hyperlink r:id="rId64">
        <w:r>
          <w:rPr>
            <w:color w:val="0000FF"/>
          </w:rPr>
          <w:t>Приказа</w:t>
        </w:r>
      </w:hyperlink>
      <w:r>
        <w:t xml:space="preserve"> ФАС России от 25.04.2025 N 308/25)</w:t>
      </w:r>
    </w:p>
    <w:p w14:paraId="3ABE3699" w14:textId="77777777" w:rsidR="0004385C" w:rsidRDefault="0004385C">
      <w:pPr>
        <w:pStyle w:val="ConsPlusNormal"/>
        <w:spacing w:before="220"/>
        <w:ind w:firstLine="540"/>
        <w:jc w:val="both"/>
      </w:pPr>
      <w:r>
        <w:t>--------------------------------</w:t>
      </w:r>
    </w:p>
    <w:p w14:paraId="2E416E57" w14:textId="77777777" w:rsidR="0004385C" w:rsidRDefault="0004385C">
      <w:pPr>
        <w:pStyle w:val="ConsPlusNormal"/>
        <w:spacing w:before="220"/>
        <w:ind w:firstLine="540"/>
        <w:jc w:val="both"/>
      </w:pPr>
      <w:r>
        <w:t xml:space="preserve">&lt;2&gt; </w:t>
      </w:r>
      <w:hyperlink r:id="rId65">
        <w:r>
          <w:rPr>
            <w:color w:val="0000FF"/>
          </w:rPr>
          <w:t>Абзац шестой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1F32C285" w14:textId="77777777" w:rsidR="0004385C" w:rsidRDefault="0004385C">
      <w:pPr>
        <w:pStyle w:val="ConsPlusNormal"/>
        <w:jc w:val="both"/>
      </w:pPr>
      <w:r>
        <w:t xml:space="preserve">(сноска введена </w:t>
      </w:r>
      <w:hyperlink r:id="rId66">
        <w:r>
          <w:rPr>
            <w:color w:val="0000FF"/>
          </w:rPr>
          <w:t>Приказом</w:t>
        </w:r>
      </w:hyperlink>
      <w:r>
        <w:t xml:space="preserve"> ФАС России от 27.04.2024 N 296/24)</w:t>
      </w:r>
    </w:p>
    <w:p w14:paraId="795D23A8" w14:textId="77777777" w:rsidR="0004385C" w:rsidRDefault="0004385C">
      <w:pPr>
        <w:pStyle w:val="ConsPlusNormal"/>
        <w:jc w:val="both"/>
      </w:pPr>
    </w:p>
    <w:p w14:paraId="052DDED8" w14:textId="77777777" w:rsidR="0004385C" w:rsidRDefault="0004385C">
      <w:pPr>
        <w:pStyle w:val="ConsPlusNormal"/>
        <w:jc w:val="both"/>
      </w:pPr>
      <w:r>
        <w:t xml:space="preserve">(п. 12 в ред. </w:t>
      </w:r>
      <w:hyperlink r:id="rId67">
        <w:r>
          <w:rPr>
            <w:color w:val="0000FF"/>
          </w:rPr>
          <w:t>Приказа</w:t>
        </w:r>
      </w:hyperlink>
      <w:r>
        <w:t xml:space="preserve"> ФАС России от 16.07.2021 N 690/21)</w:t>
      </w:r>
    </w:p>
    <w:p w14:paraId="4BCAACDB" w14:textId="77777777" w:rsidR="0004385C" w:rsidRDefault="0004385C">
      <w:pPr>
        <w:pStyle w:val="ConsPlusNormal"/>
        <w:spacing w:before="220"/>
        <w:ind w:firstLine="540"/>
        <w:jc w:val="both"/>
      </w:pPr>
      <w:bookmarkStart w:id="5" w:name="P137"/>
      <w:bookmarkEnd w:id="5"/>
      <w:r>
        <w:t>13. При установлении дифференцированной по группам конечных потребителей специальной надбавки ее размер для группы конечных потребителей с меньшим годовым объемом потребления газа не может быть меньше размера специальной надбавки для группы конечных потребителей с большим годовым объемом потребления (кроме населения).</w:t>
      </w:r>
    </w:p>
    <w:p w14:paraId="395623BA" w14:textId="77777777" w:rsidR="0004385C" w:rsidRDefault="0004385C">
      <w:pPr>
        <w:pStyle w:val="ConsPlusNormal"/>
        <w:jc w:val="both"/>
      </w:pPr>
      <w:r>
        <w:t xml:space="preserve">(п. 13 в ред. </w:t>
      </w:r>
      <w:hyperlink r:id="rId68">
        <w:r>
          <w:rPr>
            <w:color w:val="0000FF"/>
          </w:rPr>
          <w:t>Приказа</w:t>
        </w:r>
      </w:hyperlink>
      <w:r>
        <w:t xml:space="preserve"> ФСТ России от 12.10.2011 N 245-э/1)</w:t>
      </w:r>
    </w:p>
    <w:p w14:paraId="38A56C10" w14:textId="77777777" w:rsidR="0004385C" w:rsidRDefault="0004385C">
      <w:pPr>
        <w:pStyle w:val="ConsPlusNormal"/>
        <w:spacing w:before="220"/>
        <w:ind w:firstLine="540"/>
        <w:jc w:val="both"/>
      </w:pPr>
      <w:bookmarkStart w:id="6" w:name="P139"/>
      <w:bookmarkEnd w:id="6"/>
      <w:r>
        <w:t xml:space="preserve">14. Если установление специальных надбавок для случаев, когда тарифы на транспортировку установлены дифференцированно по территориальному признаку и (или) по ранее существовавшим зонам обслуживания различных ГРО, без такого рода дифференциации приводит к невозможности соблюдения ограничений по росту стоимости жилищно-коммунальных услуг, специальная надбавка также может дифференцироваться по территориальному признаку и (или) по ранее существовавшим зонам обслуживания различных ГРО. При этом обеспечивается выполнение условий, указанных в </w:t>
      </w:r>
      <w:hyperlink w:anchor="P77">
        <w:r>
          <w:rPr>
            <w:color w:val="0000FF"/>
          </w:rPr>
          <w:t>пунктах 6</w:t>
        </w:r>
      </w:hyperlink>
      <w:r>
        <w:t xml:space="preserve">, </w:t>
      </w:r>
      <w:hyperlink w:anchor="P121">
        <w:r>
          <w:rPr>
            <w:color w:val="0000FF"/>
          </w:rPr>
          <w:t>12</w:t>
        </w:r>
      </w:hyperlink>
      <w:r>
        <w:t xml:space="preserve">, </w:t>
      </w:r>
      <w:hyperlink w:anchor="P137">
        <w:r>
          <w:rPr>
            <w:color w:val="0000FF"/>
          </w:rPr>
          <w:t>13</w:t>
        </w:r>
      </w:hyperlink>
      <w:r>
        <w:t>.</w:t>
      </w:r>
    </w:p>
    <w:p w14:paraId="3D2F8551" w14:textId="77777777" w:rsidR="0004385C" w:rsidRDefault="0004385C">
      <w:pPr>
        <w:pStyle w:val="ConsPlusNormal"/>
        <w:spacing w:before="220"/>
        <w:ind w:firstLine="540"/>
        <w:jc w:val="both"/>
      </w:pPr>
      <w:bookmarkStart w:id="7" w:name="P140"/>
      <w:bookmarkEnd w:id="7"/>
      <w:r>
        <w:lastRenderedPageBreak/>
        <w:t>15. Размер специальной надбавки в месяце проведения отнесения конечного потребителя к другой объемной группе рассчитывается по следующей формуле:</w:t>
      </w:r>
    </w:p>
    <w:p w14:paraId="631A56A8" w14:textId="77777777" w:rsidR="0004385C" w:rsidRDefault="0004385C">
      <w:pPr>
        <w:pStyle w:val="ConsPlusNormal"/>
        <w:ind w:firstLine="540"/>
        <w:jc w:val="both"/>
      </w:pPr>
    </w:p>
    <w:p w14:paraId="047B49E5" w14:textId="77777777" w:rsidR="0004385C" w:rsidRDefault="0004385C">
      <w:pPr>
        <w:pStyle w:val="ConsPlusNormal"/>
        <w:ind w:firstLine="540"/>
        <w:jc w:val="both"/>
      </w:pPr>
      <w:bookmarkStart w:id="8" w:name="P142"/>
      <w:bookmarkEnd w:id="8"/>
      <w:r>
        <w:rPr>
          <w:noProof/>
          <w:position w:val="-44"/>
        </w:rPr>
        <w:drawing>
          <wp:inline distT="0" distB="0" distL="0" distR="0" wp14:anchorId="75896C3D" wp14:editId="340A49E3">
            <wp:extent cx="2696845" cy="705485"/>
            <wp:effectExtent l="0" t="0" r="0" b="0"/>
            <wp:docPr id="413497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2696845" cy="705485"/>
                    </a:xfrm>
                    <a:prstGeom prst="rect">
                      <a:avLst/>
                    </a:prstGeom>
                    <a:noFill/>
                    <a:ln>
                      <a:noFill/>
                    </a:ln>
                  </pic:spPr>
                </pic:pic>
              </a:graphicData>
            </a:graphic>
          </wp:inline>
        </w:drawing>
      </w:r>
      <w:r>
        <w:t xml:space="preserve"> (4)</w:t>
      </w:r>
    </w:p>
    <w:p w14:paraId="08CE8806" w14:textId="77777777" w:rsidR="0004385C" w:rsidRDefault="0004385C">
      <w:pPr>
        <w:pStyle w:val="ConsPlusNormal"/>
        <w:ind w:firstLine="540"/>
        <w:jc w:val="both"/>
      </w:pPr>
    </w:p>
    <w:p w14:paraId="7644F9A3" w14:textId="77777777" w:rsidR="0004385C" w:rsidRDefault="0004385C">
      <w:pPr>
        <w:pStyle w:val="ConsPlusNormal"/>
        <w:ind w:firstLine="540"/>
        <w:jc w:val="both"/>
      </w:pPr>
      <w:r>
        <w:t>где:</w:t>
      </w:r>
    </w:p>
    <w:p w14:paraId="4F29C98A" w14:textId="77777777" w:rsidR="0004385C" w:rsidRDefault="0004385C">
      <w:pPr>
        <w:pStyle w:val="ConsPlusNormal"/>
        <w:spacing w:before="220"/>
        <w:ind w:firstLine="540"/>
        <w:jc w:val="both"/>
      </w:pPr>
      <w:r>
        <w:rPr>
          <w:noProof/>
          <w:position w:val="-11"/>
        </w:rPr>
        <w:drawing>
          <wp:inline distT="0" distB="0" distL="0" distR="0" wp14:anchorId="09C14855" wp14:editId="5700A790">
            <wp:extent cx="344805" cy="285115"/>
            <wp:effectExtent l="0" t="0" r="0" b="0"/>
            <wp:docPr id="558796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был отнесен конечный потребитель после уточнения его объемных показателей;</w:t>
      </w:r>
    </w:p>
    <w:p w14:paraId="11259F8F" w14:textId="77777777" w:rsidR="0004385C" w:rsidRDefault="0004385C">
      <w:pPr>
        <w:pStyle w:val="ConsPlusNormal"/>
        <w:spacing w:before="220"/>
        <w:ind w:firstLine="540"/>
        <w:jc w:val="both"/>
      </w:pPr>
      <w:r>
        <w:rPr>
          <w:noProof/>
          <w:position w:val="-11"/>
        </w:rPr>
        <w:drawing>
          <wp:inline distT="0" distB="0" distL="0" distR="0" wp14:anchorId="4F29327A" wp14:editId="7A825320">
            <wp:extent cx="344805" cy="285115"/>
            <wp:effectExtent l="0" t="0" r="0" b="0"/>
            <wp:docPr id="1366623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конечный потребитель был отнесен первоначально;</w:t>
      </w:r>
    </w:p>
    <w:p w14:paraId="6B66DE0E" w14:textId="77777777" w:rsidR="0004385C" w:rsidRDefault="0004385C">
      <w:pPr>
        <w:pStyle w:val="ConsPlusNormal"/>
        <w:spacing w:before="220"/>
        <w:ind w:firstLine="540"/>
        <w:jc w:val="both"/>
      </w:pPr>
      <w:r>
        <w:t>k - порядковый номер месяца, в котором конечный потребитель был отнесен к другой объемной группе;</w:t>
      </w:r>
    </w:p>
    <w:p w14:paraId="6461A643" w14:textId="77777777" w:rsidR="0004385C" w:rsidRDefault="0004385C">
      <w:pPr>
        <w:pStyle w:val="ConsPlusNormal"/>
        <w:spacing w:before="220"/>
        <w:ind w:firstLine="540"/>
        <w:jc w:val="both"/>
      </w:pPr>
      <w:r>
        <w:rPr>
          <w:noProof/>
          <w:position w:val="-8"/>
        </w:rPr>
        <w:drawing>
          <wp:inline distT="0" distB="0" distL="0" distR="0" wp14:anchorId="74BBE689" wp14:editId="678815F8">
            <wp:extent cx="167640" cy="251460"/>
            <wp:effectExtent l="0" t="0" r="0" b="0"/>
            <wp:docPr id="1251097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14:paraId="113436D4" w14:textId="77777777" w:rsidR="0004385C" w:rsidRDefault="0004385C">
      <w:pPr>
        <w:pStyle w:val="ConsPlusNormal"/>
        <w:spacing w:before="220"/>
        <w:ind w:firstLine="540"/>
        <w:jc w:val="both"/>
      </w:pPr>
      <w:r>
        <w:t>При этом отнесение конечного потребителя к другой объемной группе проводится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за вычетом суммарных объемов перерасхода газа без предварительного согласования с поставщиком, газотранспортной организацией или ГРО в течение года (но не более 10% от общего годового договорного объема поставки газа, а при наличии сведений о фактическом годовом объеме поставки - не более 10% от фактического годового объема поставки) выходит за объемные пределы группы, к которой он был ранее отнесен. Отнесение к группе с более высоким порядковым номером возможно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оказания услуг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w:t>
      </w:r>
    </w:p>
    <w:p w14:paraId="1B28185E" w14:textId="77777777" w:rsidR="0004385C" w:rsidRDefault="0004385C">
      <w:pPr>
        <w:pStyle w:val="ConsPlusNormal"/>
        <w:jc w:val="both"/>
      </w:pPr>
      <w:r>
        <w:t xml:space="preserve">(в ред. </w:t>
      </w:r>
      <w:hyperlink r:id="rId73">
        <w:r>
          <w:rPr>
            <w:color w:val="0000FF"/>
          </w:rPr>
          <w:t>Приказа</w:t>
        </w:r>
      </w:hyperlink>
      <w:r>
        <w:t xml:space="preserve"> ФАС России от 27.04.2024 N 296/24)</w:t>
      </w:r>
    </w:p>
    <w:p w14:paraId="6C3B8E36" w14:textId="77777777" w:rsidR="0004385C" w:rsidRDefault="0004385C">
      <w:pPr>
        <w:pStyle w:val="ConsPlusNormal"/>
        <w:spacing w:before="220"/>
        <w:ind w:firstLine="540"/>
        <w:jc w:val="both"/>
      </w:pPr>
      <w:r>
        <w:t xml:space="preserve">В случае если значение </w:t>
      </w:r>
      <w:r>
        <w:rPr>
          <w:noProof/>
          <w:position w:val="-11"/>
        </w:rPr>
        <w:drawing>
          <wp:inline distT="0" distB="0" distL="0" distR="0" wp14:anchorId="6ABFC334" wp14:editId="59B0823F">
            <wp:extent cx="344805" cy="285115"/>
            <wp:effectExtent l="0" t="0" r="0" b="0"/>
            <wp:docPr id="1134124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2">
        <w:r>
          <w:rPr>
            <w:color w:val="0000FF"/>
          </w:rPr>
          <w:t>формуле (4)</w:t>
        </w:r>
      </w:hyperlink>
      <w:r>
        <w:t>, оказывается отрицательным, то специальная надбавка в этом месяце определяется равной нулю, а в следующем месяце рассчитывается по следующей формуле:</w:t>
      </w:r>
    </w:p>
    <w:p w14:paraId="43CB9312" w14:textId="77777777" w:rsidR="0004385C" w:rsidRDefault="0004385C">
      <w:pPr>
        <w:pStyle w:val="ConsPlusNormal"/>
        <w:ind w:firstLine="540"/>
        <w:jc w:val="both"/>
      </w:pPr>
    </w:p>
    <w:p w14:paraId="73D5F147" w14:textId="77777777" w:rsidR="0004385C" w:rsidRDefault="0004385C">
      <w:pPr>
        <w:pStyle w:val="ConsPlusNormal"/>
        <w:ind w:firstLine="540"/>
        <w:jc w:val="both"/>
      </w:pPr>
      <w:bookmarkStart w:id="9" w:name="P153"/>
      <w:bookmarkEnd w:id="9"/>
      <w:r>
        <w:rPr>
          <w:noProof/>
          <w:position w:val="-29"/>
        </w:rPr>
        <w:drawing>
          <wp:inline distT="0" distB="0" distL="0" distR="0" wp14:anchorId="63819B5A" wp14:editId="7E31BE2F">
            <wp:extent cx="1955800" cy="511810"/>
            <wp:effectExtent l="0" t="0" r="0" b="0"/>
            <wp:docPr id="226459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955800" cy="511810"/>
                    </a:xfrm>
                    <a:prstGeom prst="rect">
                      <a:avLst/>
                    </a:prstGeom>
                    <a:noFill/>
                    <a:ln>
                      <a:noFill/>
                    </a:ln>
                  </pic:spPr>
                </pic:pic>
              </a:graphicData>
            </a:graphic>
          </wp:inline>
        </w:drawing>
      </w:r>
      <w:r>
        <w:t xml:space="preserve"> (5)</w:t>
      </w:r>
    </w:p>
    <w:p w14:paraId="71962587" w14:textId="77777777" w:rsidR="0004385C" w:rsidRDefault="0004385C">
      <w:pPr>
        <w:pStyle w:val="ConsPlusNormal"/>
        <w:ind w:firstLine="540"/>
        <w:jc w:val="both"/>
      </w:pPr>
    </w:p>
    <w:p w14:paraId="282AAC3F" w14:textId="77777777" w:rsidR="0004385C" w:rsidRDefault="0004385C">
      <w:pPr>
        <w:pStyle w:val="ConsPlusNormal"/>
        <w:ind w:firstLine="540"/>
        <w:jc w:val="both"/>
      </w:pPr>
      <w:r>
        <w:t xml:space="preserve">В случае если значение </w:t>
      </w:r>
      <w:r>
        <w:rPr>
          <w:noProof/>
          <w:position w:val="-11"/>
        </w:rPr>
        <w:drawing>
          <wp:inline distT="0" distB="0" distL="0" distR="0" wp14:anchorId="5559FFE4" wp14:editId="78BAC08A">
            <wp:extent cx="344805" cy="285115"/>
            <wp:effectExtent l="0" t="0" r="0" b="0"/>
            <wp:docPr id="1337081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53">
        <w:r>
          <w:rPr>
            <w:color w:val="0000FF"/>
          </w:rPr>
          <w:t>формуле (5)</w:t>
        </w:r>
      </w:hyperlink>
      <w:r>
        <w:t xml:space="preserve">, вновь оказывается отрицательным, то специальная надбавка в этом месяце также определяется равной нулю, а расчет по </w:t>
      </w:r>
      <w:hyperlink w:anchor="P153">
        <w:r>
          <w:rPr>
            <w:color w:val="0000FF"/>
          </w:rPr>
          <w:t>формуле (5)</w:t>
        </w:r>
      </w:hyperlink>
      <w:r>
        <w:t xml:space="preserve"> повторяется каждый месяц до получения положительного значения специальной </w:t>
      </w:r>
      <w:r>
        <w:lastRenderedPageBreak/>
        <w:t>надбавки.</w:t>
      </w:r>
    </w:p>
    <w:p w14:paraId="081EBEA3" w14:textId="77777777" w:rsidR="0004385C" w:rsidRDefault="0004385C">
      <w:pPr>
        <w:pStyle w:val="ConsPlusNormal"/>
        <w:spacing w:before="220"/>
        <w:ind w:firstLine="540"/>
        <w:jc w:val="both"/>
      </w:pPr>
      <w:r>
        <w:t xml:space="preserve">В случае если значение </w:t>
      </w:r>
      <w:r>
        <w:rPr>
          <w:noProof/>
          <w:position w:val="-11"/>
        </w:rPr>
        <w:drawing>
          <wp:inline distT="0" distB="0" distL="0" distR="0" wp14:anchorId="2F7971DC" wp14:editId="6111C4FC">
            <wp:extent cx="344805" cy="285115"/>
            <wp:effectExtent l="0" t="0" r="0" b="0"/>
            <wp:docPr id="1677606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2">
        <w:r>
          <w:rPr>
            <w:color w:val="0000FF"/>
          </w:rPr>
          <w:t>формуле (4)</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153">
        <w:r>
          <w:rPr>
            <w:color w:val="0000FF"/>
          </w:rPr>
          <w:t>формулой (5)</w:t>
        </w:r>
      </w:hyperlink>
      <w:r>
        <w:t>, за предыдущий месяц,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1E842D36" w14:textId="77777777" w:rsidR="0004385C" w:rsidRDefault="0004385C">
      <w:pPr>
        <w:pStyle w:val="ConsPlusNormal"/>
        <w:spacing w:before="220"/>
        <w:ind w:firstLine="540"/>
        <w:jc w:val="both"/>
      </w:pPr>
      <w:r>
        <w:t xml:space="preserve">16. В случае если в течение календарного года после начала оказания услуг по транспортировке газа вследствие заключения дополнительных соглашений к договору транспортировки (поставки) газа с конечным потребителем годовой договорной объем поставки газа за вычетом суммарных объемов перерасхода газа без предварительного согласования с поставщиком, газотранспортной организацией или ГРО в течение года, определяемых на момент заключения дополнительного соглашения к договору поставки газа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140">
        <w:r>
          <w:rPr>
            <w:color w:val="0000FF"/>
          </w:rPr>
          <w:t>пункте 15</w:t>
        </w:r>
      </w:hyperlink>
      <w:r>
        <w:t xml:space="preserve"> настоящей Методики,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4FC73AB8" w14:textId="77777777" w:rsidR="0004385C" w:rsidRDefault="0004385C">
      <w:pPr>
        <w:pStyle w:val="ConsPlusNormal"/>
        <w:jc w:val="both"/>
      </w:pPr>
      <w:r>
        <w:t xml:space="preserve">(в ред. </w:t>
      </w:r>
      <w:hyperlink r:id="rId77">
        <w:r>
          <w:rPr>
            <w:color w:val="0000FF"/>
          </w:rPr>
          <w:t>Приказа</w:t>
        </w:r>
      </w:hyperlink>
      <w:r>
        <w:t xml:space="preserve"> ФАС России от 27.04.2024 N 296/24)</w:t>
      </w:r>
    </w:p>
    <w:p w14:paraId="29249756" w14:textId="77777777" w:rsidR="0004385C" w:rsidRDefault="0004385C">
      <w:pPr>
        <w:pStyle w:val="ConsPlusNormal"/>
        <w:spacing w:before="220"/>
        <w:ind w:firstLine="540"/>
        <w:jc w:val="both"/>
      </w:pPr>
      <w:r>
        <w:t>17.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КП1), и началом транспортировки газа для указанного оборудования конечному потребителю, его получившему (далее - КП2),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специальная надбавка, определяются ниже в данном пункте.</w:t>
      </w:r>
    </w:p>
    <w:p w14:paraId="7BCE86B2" w14:textId="77777777" w:rsidR="0004385C" w:rsidRDefault="0004385C">
      <w:pPr>
        <w:pStyle w:val="ConsPlusNormal"/>
        <w:spacing w:before="220"/>
        <w:ind w:firstLine="540"/>
        <w:jc w:val="both"/>
      </w:pPr>
      <w:r>
        <w:t>В случае если договор транспортировки газа заключен с КП1 на полный календарный год, то первоначальное отнесение КП1 к группе производится исходя из объема транспортировки газа по данной точке подключения, указанного в договоре с КП1.</w:t>
      </w:r>
    </w:p>
    <w:p w14:paraId="3D124D4E" w14:textId="77777777" w:rsidR="0004385C" w:rsidRDefault="0004385C">
      <w:pPr>
        <w:pStyle w:val="ConsPlusNormal"/>
        <w:spacing w:before="220"/>
        <w:ind w:firstLine="540"/>
        <w:jc w:val="both"/>
      </w:pPr>
      <w:r>
        <w:t>В случае если договор транспортировки газа заключен с КП1 на период до передачи газоиспользующего оборудования, то первоначальное отнесение КП1 к группе производится исходя из фактического объема транспортировки газа по данной точке подключения КП1 за полный предыдущий год (в случае отсутствия таких данных - договорного объема транспортировки газа по данной точке подключения КП1, пересчитанного на полный год с использованием метода, приведенного в настоящей Методике).</w:t>
      </w:r>
    </w:p>
    <w:p w14:paraId="022C7FE2" w14:textId="77777777" w:rsidR="0004385C" w:rsidRDefault="0004385C">
      <w:pPr>
        <w:pStyle w:val="ConsPlusNormal"/>
        <w:spacing w:before="220"/>
        <w:ind w:firstLine="540"/>
        <w:jc w:val="both"/>
      </w:pPr>
      <w:r>
        <w:t>Первоначальное отнесение к группе КП2 производится исходя из суммы фактического объема транспортировки газа в текущем календарном году по данной точке подключения КП1 и договорного объема транспортировки газа на оставшийся период текущего календарного года КП2.</w:t>
      </w:r>
    </w:p>
    <w:p w14:paraId="0032ACB7" w14:textId="77777777" w:rsidR="0004385C" w:rsidRDefault="0004385C">
      <w:pPr>
        <w:pStyle w:val="ConsPlusNormal"/>
        <w:spacing w:before="220"/>
        <w:ind w:firstLine="540"/>
        <w:jc w:val="both"/>
      </w:pPr>
      <w:r>
        <w:t>Проведение корректировки отнесения КП1 к группе производится исходя из суммы фактического объема транспортировки газа КП1 по рассматриваемой точке подключения и договорного объема транспортировки газа КП2.</w:t>
      </w:r>
    </w:p>
    <w:p w14:paraId="33189105" w14:textId="77777777" w:rsidR="0004385C" w:rsidRDefault="0004385C">
      <w:pPr>
        <w:pStyle w:val="ConsPlusNormal"/>
        <w:spacing w:before="220"/>
        <w:ind w:firstLine="540"/>
        <w:jc w:val="both"/>
      </w:pPr>
      <w:r>
        <w:t xml:space="preserve">В случае если суммарный фактический объем транспортировки газа КП1 и КП2 за </w:t>
      </w:r>
      <w:r>
        <w:lastRenderedPageBreak/>
        <w:t>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КП2 к другой группе.</w:t>
      </w:r>
    </w:p>
    <w:p w14:paraId="5080418E" w14:textId="77777777" w:rsidR="0004385C" w:rsidRDefault="0004385C">
      <w:pPr>
        <w:pStyle w:val="ConsPlusNormal"/>
        <w:spacing w:before="220"/>
        <w:ind w:firstLine="540"/>
        <w:jc w:val="both"/>
      </w:pPr>
      <w:r>
        <w:t xml:space="preserve">Подходы к определению размера специальной надбавки в случае проведения корректировки отнесения КП1 и КП2 к группе аналогичны указанным в </w:t>
      </w:r>
      <w:hyperlink w:anchor="P140">
        <w:r>
          <w:rPr>
            <w:color w:val="0000FF"/>
          </w:rPr>
          <w:t>пункте 15</w:t>
        </w:r>
      </w:hyperlink>
      <w:r>
        <w:t xml:space="preserve"> настоящей Методики.</w:t>
      </w:r>
    </w:p>
    <w:p w14:paraId="635FBEDF" w14:textId="77777777" w:rsidR="0004385C" w:rsidRDefault="0004385C">
      <w:pPr>
        <w:pStyle w:val="ConsPlusNormal"/>
        <w:ind w:firstLine="540"/>
        <w:jc w:val="both"/>
      </w:pPr>
    </w:p>
    <w:p w14:paraId="6B2A6C7E" w14:textId="77777777" w:rsidR="0004385C" w:rsidRDefault="0004385C">
      <w:pPr>
        <w:pStyle w:val="ConsPlusTitle"/>
        <w:jc w:val="center"/>
        <w:outlineLvl w:val="1"/>
      </w:pPr>
      <w:r>
        <w:t>III. Порядок согласования федеральным органом исполнительной</w:t>
      </w:r>
    </w:p>
    <w:p w14:paraId="559104CD" w14:textId="77777777" w:rsidR="0004385C" w:rsidRDefault="0004385C">
      <w:pPr>
        <w:pStyle w:val="ConsPlusTitle"/>
        <w:jc w:val="center"/>
      </w:pPr>
      <w:r>
        <w:t>власти в области государственного регулирования цен</w:t>
      </w:r>
    </w:p>
    <w:p w14:paraId="3771FD05" w14:textId="77777777" w:rsidR="0004385C" w:rsidRDefault="0004385C">
      <w:pPr>
        <w:pStyle w:val="ConsPlusTitle"/>
        <w:jc w:val="center"/>
      </w:pPr>
      <w:r>
        <w:t>(тарифов) среднего размера специальной надбавки,</w:t>
      </w:r>
    </w:p>
    <w:p w14:paraId="2B048CC6" w14:textId="77777777" w:rsidR="0004385C" w:rsidRDefault="0004385C">
      <w:pPr>
        <w:pStyle w:val="ConsPlusTitle"/>
        <w:jc w:val="center"/>
      </w:pPr>
      <w:r>
        <w:t>превышающего 50 процентов (включая налог на прибыль</w:t>
      </w:r>
    </w:p>
    <w:p w14:paraId="6899473E" w14:textId="77777777" w:rsidR="0004385C" w:rsidRDefault="0004385C">
      <w:pPr>
        <w:pStyle w:val="ConsPlusTitle"/>
        <w:jc w:val="center"/>
      </w:pPr>
      <w:r>
        <w:t>организаций, возникающий от применения специальной надбавки)</w:t>
      </w:r>
    </w:p>
    <w:p w14:paraId="5B4F0205" w14:textId="77777777" w:rsidR="0004385C" w:rsidRDefault="0004385C">
      <w:pPr>
        <w:pStyle w:val="ConsPlusTitle"/>
        <w:jc w:val="center"/>
      </w:pPr>
      <w:r>
        <w:t>от среднего размера тарифа на услуги по транспортировке газа</w:t>
      </w:r>
    </w:p>
    <w:p w14:paraId="010D5442" w14:textId="77777777" w:rsidR="0004385C" w:rsidRDefault="0004385C">
      <w:pPr>
        <w:pStyle w:val="ConsPlusTitle"/>
        <w:jc w:val="center"/>
      </w:pPr>
      <w:r>
        <w:t>по газораспределительным сетям, расположенным в субъектах</w:t>
      </w:r>
    </w:p>
    <w:p w14:paraId="776624AA" w14:textId="77777777" w:rsidR="0004385C" w:rsidRDefault="0004385C">
      <w:pPr>
        <w:pStyle w:val="ConsPlusTitle"/>
        <w:jc w:val="center"/>
      </w:pPr>
      <w:r>
        <w:t>Российской Федерации - городах федерального значения Москва,</w:t>
      </w:r>
    </w:p>
    <w:p w14:paraId="249992E9" w14:textId="77777777" w:rsidR="0004385C" w:rsidRDefault="0004385C">
      <w:pPr>
        <w:pStyle w:val="ConsPlusTitle"/>
        <w:jc w:val="center"/>
      </w:pPr>
      <w:r>
        <w:t>Санкт-Петербург и Севастополь, а также в субъектах</w:t>
      </w:r>
    </w:p>
    <w:p w14:paraId="32A5AB1E" w14:textId="77777777" w:rsidR="0004385C" w:rsidRDefault="0004385C">
      <w:pPr>
        <w:pStyle w:val="ConsPlusTitle"/>
        <w:jc w:val="center"/>
      </w:pPr>
      <w:r>
        <w:t>Российской Федерации, по газораспределительным сетям которых</w:t>
      </w:r>
    </w:p>
    <w:p w14:paraId="18A279C3" w14:textId="77777777" w:rsidR="0004385C" w:rsidRDefault="0004385C">
      <w:pPr>
        <w:pStyle w:val="ConsPlusTitle"/>
        <w:jc w:val="center"/>
      </w:pPr>
      <w:r>
        <w:t>транспортировку газа осуществляет ГРО, которая также</w:t>
      </w:r>
    </w:p>
    <w:p w14:paraId="2C25FBD7" w14:textId="77777777" w:rsidR="0004385C" w:rsidRDefault="0004385C">
      <w:pPr>
        <w:pStyle w:val="ConsPlusTitle"/>
        <w:jc w:val="center"/>
      </w:pPr>
      <w:r>
        <w:t>осуществляет транспортировку газа по газораспределительным</w:t>
      </w:r>
    </w:p>
    <w:p w14:paraId="483B4451" w14:textId="77777777" w:rsidR="0004385C" w:rsidRDefault="0004385C">
      <w:pPr>
        <w:pStyle w:val="ConsPlusTitle"/>
        <w:jc w:val="center"/>
      </w:pPr>
      <w:r>
        <w:t>сетям, расположенным в указанных городах,</w:t>
      </w:r>
    </w:p>
    <w:p w14:paraId="24B8AFC5" w14:textId="77777777" w:rsidR="0004385C" w:rsidRDefault="0004385C">
      <w:pPr>
        <w:pStyle w:val="ConsPlusTitle"/>
        <w:jc w:val="center"/>
      </w:pPr>
      <w:r>
        <w:t>для конечных потребителей</w:t>
      </w:r>
    </w:p>
    <w:p w14:paraId="5C3BD1F6" w14:textId="77777777" w:rsidR="0004385C" w:rsidRDefault="0004385C">
      <w:pPr>
        <w:pStyle w:val="ConsPlusNormal"/>
        <w:jc w:val="center"/>
      </w:pPr>
      <w:r>
        <w:t xml:space="preserve">(в ред. Приказов ФАС России от 27.04.2024 </w:t>
      </w:r>
      <w:hyperlink r:id="rId78">
        <w:r>
          <w:rPr>
            <w:color w:val="0000FF"/>
          </w:rPr>
          <w:t>N 296/24</w:t>
        </w:r>
      </w:hyperlink>
      <w:r>
        <w:t>,</w:t>
      </w:r>
    </w:p>
    <w:p w14:paraId="7DF2A973" w14:textId="77777777" w:rsidR="0004385C" w:rsidRDefault="0004385C">
      <w:pPr>
        <w:pStyle w:val="ConsPlusNormal"/>
        <w:jc w:val="center"/>
      </w:pPr>
      <w:r>
        <w:t xml:space="preserve">от 25.04.2025 </w:t>
      </w:r>
      <w:hyperlink r:id="rId79">
        <w:r>
          <w:rPr>
            <w:color w:val="0000FF"/>
          </w:rPr>
          <w:t>N 308/25</w:t>
        </w:r>
      </w:hyperlink>
      <w:r>
        <w:t>)</w:t>
      </w:r>
    </w:p>
    <w:p w14:paraId="615B8DDF" w14:textId="77777777" w:rsidR="0004385C" w:rsidRDefault="0004385C">
      <w:pPr>
        <w:pStyle w:val="ConsPlusNormal"/>
        <w:jc w:val="center"/>
      </w:pPr>
    </w:p>
    <w:p w14:paraId="105E8FD6" w14:textId="77777777" w:rsidR="0004385C" w:rsidRDefault="0004385C">
      <w:pPr>
        <w:pStyle w:val="ConsPlusNormal"/>
        <w:jc w:val="center"/>
      </w:pPr>
      <w:r>
        <w:t xml:space="preserve">(введено </w:t>
      </w:r>
      <w:hyperlink r:id="rId80">
        <w:r>
          <w:rPr>
            <w:color w:val="0000FF"/>
          </w:rPr>
          <w:t>Приказом</w:t>
        </w:r>
      </w:hyperlink>
      <w:r>
        <w:t xml:space="preserve"> ФАС России от 16.07.2021 N 690/21)</w:t>
      </w:r>
    </w:p>
    <w:p w14:paraId="16C0C6D5" w14:textId="77777777" w:rsidR="0004385C" w:rsidRDefault="0004385C">
      <w:pPr>
        <w:pStyle w:val="ConsPlusNormal"/>
        <w:ind w:firstLine="540"/>
        <w:jc w:val="both"/>
      </w:pPr>
    </w:p>
    <w:p w14:paraId="7C9894CB" w14:textId="77777777" w:rsidR="0004385C" w:rsidRDefault="0004385C">
      <w:pPr>
        <w:pStyle w:val="ConsPlusNormal"/>
        <w:ind w:firstLine="540"/>
        <w:jc w:val="both"/>
      </w:pPr>
      <w:bookmarkStart w:id="10" w:name="P186"/>
      <w:bookmarkEnd w:id="10"/>
      <w:r>
        <w:t>18. Основаниями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являются:</w:t>
      </w:r>
    </w:p>
    <w:p w14:paraId="04913187" w14:textId="77777777" w:rsidR="0004385C" w:rsidRDefault="0004385C">
      <w:pPr>
        <w:pStyle w:val="ConsPlusNormal"/>
        <w:jc w:val="both"/>
      </w:pPr>
      <w:r>
        <w:t xml:space="preserve">(в ред. Приказов ФАС России от 27.04.2024 </w:t>
      </w:r>
      <w:hyperlink r:id="rId81">
        <w:r>
          <w:rPr>
            <w:color w:val="0000FF"/>
          </w:rPr>
          <w:t>N 296/24</w:t>
        </w:r>
      </w:hyperlink>
      <w:r>
        <w:t xml:space="preserve">, от 25.04.2025 </w:t>
      </w:r>
      <w:hyperlink r:id="rId82">
        <w:r>
          <w:rPr>
            <w:color w:val="0000FF"/>
          </w:rPr>
          <w:t>N 308/25</w:t>
        </w:r>
      </w:hyperlink>
      <w:r>
        <w:t>)</w:t>
      </w:r>
    </w:p>
    <w:p w14:paraId="5125AC3C" w14:textId="77777777" w:rsidR="0004385C" w:rsidRDefault="0004385C">
      <w:pPr>
        <w:pStyle w:val="ConsPlusNormal"/>
        <w:spacing w:before="220"/>
        <w:ind w:firstLine="540"/>
        <w:jc w:val="both"/>
      </w:pPr>
      <w:r>
        <w:t xml:space="preserve">а) недостаточность средств для компенсации выпадающих доходов ГРО от технологического присоединения газоиспользующего оборудования, указанного в </w:t>
      </w:r>
      <w:hyperlink r:id="rId83">
        <w:r>
          <w:rPr>
            <w:color w:val="0000FF"/>
          </w:rPr>
          <w:t>пункте 26(22)</w:t>
        </w:r>
      </w:hyperlink>
      <w:r>
        <w:t xml:space="preserve"> Основных положений, учитываемых при формировании тарифов на услуги по транспортировке газа по газораспределительным сетям и специальных надбавок к тарифам на услуги по транспортировке газа по газораспределительным сетям на уровне, не превышающем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установлении платы за технологическое присоединение газоиспользующего оборудования на максимальном уровне;</w:t>
      </w:r>
    </w:p>
    <w:p w14:paraId="2D4D495F" w14:textId="77777777" w:rsidR="0004385C" w:rsidRDefault="0004385C">
      <w:pPr>
        <w:pStyle w:val="ConsPlusNormal"/>
        <w:jc w:val="both"/>
      </w:pPr>
      <w:r>
        <w:t xml:space="preserve">(в ред. Приказов ФАС России от 27.04.2024 </w:t>
      </w:r>
      <w:hyperlink r:id="rId84">
        <w:r>
          <w:rPr>
            <w:color w:val="0000FF"/>
          </w:rPr>
          <w:t>N 296/24</w:t>
        </w:r>
      </w:hyperlink>
      <w:r>
        <w:t xml:space="preserve">, от 25.04.2025 </w:t>
      </w:r>
      <w:hyperlink r:id="rId85">
        <w:r>
          <w:rPr>
            <w:color w:val="0000FF"/>
          </w:rPr>
          <w:t>N 308/25</w:t>
        </w:r>
      </w:hyperlink>
      <w:r>
        <w:t>)</w:t>
      </w:r>
    </w:p>
    <w:p w14:paraId="0904979C" w14:textId="77777777" w:rsidR="0004385C" w:rsidRDefault="0004385C">
      <w:pPr>
        <w:pStyle w:val="ConsPlusNormal"/>
        <w:spacing w:before="220"/>
        <w:ind w:firstLine="540"/>
        <w:jc w:val="both"/>
      </w:pPr>
      <w:r>
        <w:t xml:space="preserve">б) необходимость финансирования мероприятий, предусмотренных утвержденными межрегиональными и (или) региональными программами газификации, за счет средств специальных надбавок к тарифам на услуги по транспортировке газа по газораспределительным сетям для конечных потребителей в объемах, превышающих средства, планируемые к получению от применения специальной надбавки, рассчитанной на уровне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w:t>
      </w:r>
      <w:r>
        <w:lastRenderedPageBreak/>
        <w:t>субъектах Российской Федерации - городах федерального значения Москва, Санкт-Петербург и Севастополь, для конечных потребителей.</w:t>
      </w:r>
    </w:p>
    <w:p w14:paraId="1038E3D6" w14:textId="77777777" w:rsidR="0004385C" w:rsidRDefault="0004385C">
      <w:pPr>
        <w:pStyle w:val="ConsPlusNormal"/>
        <w:jc w:val="both"/>
      </w:pPr>
      <w:r>
        <w:t xml:space="preserve">(в ред. </w:t>
      </w:r>
      <w:hyperlink r:id="rId86">
        <w:r>
          <w:rPr>
            <w:color w:val="0000FF"/>
          </w:rPr>
          <w:t>Приказа</w:t>
        </w:r>
      </w:hyperlink>
      <w:r>
        <w:t xml:space="preserve"> ФАС России от 25.04.2025 N 308/25)</w:t>
      </w:r>
    </w:p>
    <w:p w14:paraId="71894A01" w14:textId="77777777" w:rsidR="0004385C" w:rsidRDefault="0004385C">
      <w:pPr>
        <w:pStyle w:val="ConsPlusNormal"/>
        <w:spacing w:before="220"/>
        <w:ind w:firstLine="540"/>
        <w:jc w:val="both"/>
      </w:pPr>
      <w:r>
        <w:t xml:space="preserve">19. В случае планируемого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по основаниям, указанным в </w:t>
      </w:r>
      <w:hyperlink w:anchor="P186">
        <w:r>
          <w:rPr>
            <w:color w:val="0000FF"/>
          </w:rPr>
          <w:t>пункте 18</w:t>
        </w:r>
      </w:hyperlink>
      <w:r>
        <w:t xml:space="preserve"> настоящей Методики,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цен (тарифов).</w:t>
      </w:r>
    </w:p>
    <w:p w14:paraId="3AE8EA38" w14:textId="77777777" w:rsidR="0004385C" w:rsidRDefault="0004385C">
      <w:pPr>
        <w:pStyle w:val="ConsPlusNormal"/>
        <w:jc w:val="both"/>
      </w:pPr>
      <w:r>
        <w:t xml:space="preserve">(в ред. Приказов ФАС России от 27.04.2024 </w:t>
      </w:r>
      <w:hyperlink r:id="rId87">
        <w:r>
          <w:rPr>
            <w:color w:val="0000FF"/>
          </w:rPr>
          <w:t>N 296/24</w:t>
        </w:r>
      </w:hyperlink>
      <w:r>
        <w:t xml:space="preserve">, от 25.04.2025 </w:t>
      </w:r>
      <w:hyperlink r:id="rId88">
        <w:r>
          <w:rPr>
            <w:color w:val="0000FF"/>
          </w:rPr>
          <w:t>N 308/25</w:t>
        </w:r>
      </w:hyperlink>
      <w:r>
        <w:t>)</w:t>
      </w:r>
    </w:p>
    <w:p w14:paraId="146E48E1" w14:textId="77777777" w:rsidR="0004385C" w:rsidRDefault="0004385C">
      <w:pPr>
        <w:pStyle w:val="ConsPlusNormal"/>
        <w:spacing w:before="220"/>
        <w:ind w:firstLine="540"/>
        <w:jc w:val="both"/>
      </w:pPr>
      <w:bookmarkStart w:id="11" w:name="P194"/>
      <w:bookmarkEnd w:id="11"/>
      <w:r>
        <w:t xml:space="preserve">20. Для согласования указанных в </w:t>
      </w:r>
      <w:hyperlink w:anchor="P186">
        <w:r>
          <w:rPr>
            <w:color w:val="0000FF"/>
          </w:rPr>
          <w:t>пункте 18</w:t>
        </w:r>
      </w:hyperlink>
      <w:r>
        <w:t xml:space="preserve"> настоящей Методики оснований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уполномоченный исполнительный орган субъекта Российской Федерации до 10 ноября года, предшествующего году установления специальных надбавок, представляет заявление в федеральный орган исполнительной власти в области государственного регулирования цен (тарифов) с приложением следующих документов и материалов:</w:t>
      </w:r>
    </w:p>
    <w:p w14:paraId="65EE8DBE" w14:textId="77777777" w:rsidR="0004385C" w:rsidRDefault="0004385C">
      <w:pPr>
        <w:pStyle w:val="ConsPlusNormal"/>
        <w:jc w:val="both"/>
      </w:pPr>
      <w:r>
        <w:t xml:space="preserve">(в ред. Приказов ФАС России от 27.04.2024 </w:t>
      </w:r>
      <w:hyperlink r:id="rId89">
        <w:r>
          <w:rPr>
            <w:color w:val="0000FF"/>
          </w:rPr>
          <w:t>N 296/24</w:t>
        </w:r>
      </w:hyperlink>
      <w:r>
        <w:t xml:space="preserve">, от 25.04.2025 </w:t>
      </w:r>
      <w:hyperlink r:id="rId90">
        <w:r>
          <w:rPr>
            <w:color w:val="0000FF"/>
          </w:rPr>
          <w:t>N 308/25</w:t>
        </w:r>
      </w:hyperlink>
      <w:r>
        <w:t>)</w:t>
      </w:r>
    </w:p>
    <w:p w14:paraId="0BC0A019" w14:textId="77777777" w:rsidR="0004385C" w:rsidRDefault="0004385C">
      <w:pPr>
        <w:pStyle w:val="ConsPlusNormal"/>
        <w:spacing w:before="220"/>
        <w:ind w:firstLine="540"/>
        <w:jc w:val="both"/>
      </w:pPr>
      <w:r>
        <w:t>а) проекты актов исполнительных органов субъектов Российской Федерации об установлении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77CA8C09" w14:textId="77777777" w:rsidR="0004385C" w:rsidRDefault="0004385C">
      <w:pPr>
        <w:pStyle w:val="ConsPlusNormal"/>
        <w:jc w:val="both"/>
      </w:pPr>
      <w:r>
        <w:t xml:space="preserve">(в ред. Приказов ФАС России от 27.04.2024 </w:t>
      </w:r>
      <w:hyperlink r:id="rId91">
        <w:r>
          <w:rPr>
            <w:color w:val="0000FF"/>
          </w:rPr>
          <w:t>N 296/24</w:t>
        </w:r>
      </w:hyperlink>
      <w:r>
        <w:t xml:space="preserve">, от 25.04.2025 </w:t>
      </w:r>
      <w:hyperlink r:id="rId92">
        <w:r>
          <w:rPr>
            <w:color w:val="0000FF"/>
          </w:rPr>
          <w:t>N 308/25</w:t>
        </w:r>
      </w:hyperlink>
      <w:r>
        <w:t>)</w:t>
      </w:r>
    </w:p>
    <w:p w14:paraId="306B34E0" w14:textId="77777777" w:rsidR="0004385C" w:rsidRDefault="0004385C">
      <w:pPr>
        <w:pStyle w:val="ConsPlusNormal"/>
        <w:spacing w:before="220"/>
        <w:ind w:firstLine="540"/>
        <w:jc w:val="both"/>
      </w:pPr>
      <w:r>
        <w:t>б) материалы, подтверждающие основания установления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1BD835BE" w14:textId="77777777" w:rsidR="0004385C" w:rsidRDefault="0004385C">
      <w:pPr>
        <w:pStyle w:val="ConsPlusNormal"/>
        <w:jc w:val="both"/>
      </w:pPr>
      <w:r>
        <w:t xml:space="preserve">(в ред. </w:t>
      </w:r>
      <w:hyperlink r:id="rId93">
        <w:r>
          <w:rPr>
            <w:color w:val="0000FF"/>
          </w:rPr>
          <w:t>Приказа</w:t>
        </w:r>
      </w:hyperlink>
      <w:r>
        <w:t xml:space="preserve"> ФАС России от 25.04.2025 N 308/25)</w:t>
      </w:r>
    </w:p>
    <w:p w14:paraId="50926E9F" w14:textId="77777777" w:rsidR="0004385C" w:rsidRDefault="0004385C">
      <w:pPr>
        <w:pStyle w:val="ConsPlusNormal"/>
        <w:spacing w:before="220"/>
        <w:ind w:firstLine="540"/>
        <w:jc w:val="both"/>
      </w:pPr>
      <w:r>
        <w:t>- информация о фактических расходах по выполнению утвержденных межрегиональных и (или) региональных программ газификации за предшествующие три года;</w:t>
      </w:r>
    </w:p>
    <w:p w14:paraId="1CAAB73C" w14:textId="77777777" w:rsidR="0004385C" w:rsidRDefault="0004385C">
      <w:pPr>
        <w:pStyle w:val="ConsPlusNormal"/>
        <w:spacing w:before="220"/>
        <w:ind w:firstLine="540"/>
        <w:jc w:val="both"/>
      </w:pPr>
      <w:r>
        <w:t>- данные по уровню фактической газификации, удельная стоимость строительства 1 км сетей газораспределения в рамках программ газификации;</w:t>
      </w:r>
    </w:p>
    <w:p w14:paraId="5C443ABB" w14:textId="77777777" w:rsidR="0004385C" w:rsidRDefault="0004385C">
      <w:pPr>
        <w:pStyle w:val="ConsPlusNormal"/>
        <w:spacing w:before="220"/>
        <w:ind w:firstLine="540"/>
        <w:jc w:val="both"/>
      </w:pPr>
      <w:r>
        <w:t>- расчет размера специальной надбавки, предлагаемой к установлению;</w:t>
      </w:r>
    </w:p>
    <w:p w14:paraId="408E1224" w14:textId="77777777" w:rsidR="0004385C" w:rsidRDefault="0004385C">
      <w:pPr>
        <w:pStyle w:val="ConsPlusNormal"/>
        <w:spacing w:before="220"/>
        <w:ind w:firstLine="540"/>
        <w:jc w:val="both"/>
      </w:pPr>
      <w:r>
        <w:t>- проект межрегиональной и (или) региональной программы газификации, включающей в том числе перечень объектов строительства, объемов их финансирования (с распределением по конкретным объектам), план ввода объектов по годам программы с указанием протяженности сооружаемой сети газораспределения;</w:t>
      </w:r>
    </w:p>
    <w:p w14:paraId="255AD2BC" w14:textId="77777777" w:rsidR="0004385C" w:rsidRDefault="0004385C">
      <w:pPr>
        <w:pStyle w:val="ConsPlusNormal"/>
        <w:spacing w:before="220"/>
        <w:ind w:firstLine="540"/>
        <w:jc w:val="both"/>
      </w:pPr>
      <w:r>
        <w:lastRenderedPageBreak/>
        <w:t>- прогнозируемый уровень газификации, который будет достигнут в результате реализации межрегиональной и (или) региональной программы газификации;</w:t>
      </w:r>
    </w:p>
    <w:p w14:paraId="2853401A" w14:textId="77777777" w:rsidR="0004385C" w:rsidRDefault="0004385C">
      <w:pPr>
        <w:pStyle w:val="ConsPlusNormal"/>
        <w:spacing w:before="220"/>
        <w:ind w:firstLine="540"/>
        <w:jc w:val="both"/>
      </w:pPr>
      <w:r>
        <w:t>- прогноз увеличения объемов реализации газа новым конечным потребителям;</w:t>
      </w:r>
    </w:p>
    <w:p w14:paraId="1CCEFC11" w14:textId="77777777" w:rsidR="0004385C" w:rsidRDefault="0004385C">
      <w:pPr>
        <w:pStyle w:val="ConsPlusNormal"/>
        <w:spacing w:before="220"/>
        <w:ind w:firstLine="540"/>
        <w:jc w:val="both"/>
      </w:pPr>
      <w:r>
        <w:t>- предварительные расчеты размеров тарифов на услуги по транспортировке газа и эксплуатационных затрат (по статьям), сложившихся в базовом периоде, и уровней тарифов и эксплуатационных затрат (по годам) на долгосрочный период с учетом ввода в эксплуатацию объектов, предлагаемых к включению в межрегиональную и (или) региональную программу газификации;</w:t>
      </w:r>
    </w:p>
    <w:p w14:paraId="4BA8CAC1" w14:textId="77777777" w:rsidR="0004385C" w:rsidRDefault="0004385C">
      <w:pPr>
        <w:pStyle w:val="ConsPlusNormal"/>
        <w:spacing w:before="220"/>
        <w:ind w:firstLine="540"/>
        <w:jc w:val="both"/>
      </w:pPr>
      <w:r>
        <w:t>- перечень объектов строительства, объемов их финансирования (с распределением по конкретным объектам) и графики строительных работ с указанием уровня загрузки строящихся (реконструируемых) сетей на уровне не ниже 0,05 - 0,08 млн. м</w:t>
      </w:r>
      <w:r>
        <w:rPr>
          <w:vertAlign w:val="superscript"/>
        </w:rPr>
        <w:t>3</w:t>
      </w:r>
      <w:r>
        <w:t xml:space="preserve"> с обоснованием их стоимости и необходимости реализации;</w:t>
      </w:r>
    </w:p>
    <w:p w14:paraId="257718E5" w14:textId="77777777" w:rsidR="0004385C" w:rsidRDefault="0004385C">
      <w:pPr>
        <w:pStyle w:val="ConsPlusNormal"/>
        <w:spacing w:before="220"/>
        <w:ind w:firstLine="540"/>
        <w:jc w:val="both"/>
      </w:pPr>
      <w:r>
        <w:t>- иные материалы, обосновывающие потребность в установлении специальной надбавки на уровне, превышающем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6502C74E" w14:textId="77777777" w:rsidR="0004385C" w:rsidRDefault="0004385C">
      <w:pPr>
        <w:pStyle w:val="ConsPlusNormal"/>
        <w:jc w:val="both"/>
      </w:pPr>
      <w:r>
        <w:t xml:space="preserve">(в ред. </w:t>
      </w:r>
      <w:hyperlink r:id="rId94">
        <w:r>
          <w:rPr>
            <w:color w:val="0000FF"/>
          </w:rPr>
          <w:t>Приказа</w:t>
        </w:r>
      </w:hyperlink>
      <w:r>
        <w:t xml:space="preserve"> ФАС России от 25.04.2025 N 308/25)</w:t>
      </w:r>
    </w:p>
    <w:p w14:paraId="36A4EB6E" w14:textId="77777777" w:rsidR="0004385C" w:rsidRDefault="0004385C">
      <w:pPr>
        <w:pStyle w:val="ConsPlusNormal"/>
        <w:spacing w:before="220"/>
        <w:ind w:firstLine="540"/>
        <w:jc w:val="both"/>
      </w:pPr>
      <w:r>
        <w:t>в) анализ социально-экономических последствий утверждения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оценка доступности платежа для конечных потребителей, анализ тарифных последствий, расчет цен для конечных потребителей.</w:t>
      </w:r>
    </w:p>
    <w:p w14:paraId="6FE8AA9B" w14:textId="77777777" w:rsidR="0004385C" w:rsidRDefault="0004385C">
      <w:pPr>
        <w:pStyle w:val="ConsPlusNormal"/>
        <w:jc w:val="both"/>
      </w:pPr>
      <w:r>
        <w:t xml:space="preserve">(в ред. </w:t>
      </w:r>
      <w:hyperlink r:id="rId95">
        <w:r>
          <w:rPr>
            <w:color w:val="0000FF"/>
          </w:rPr>
          <w:t>Приказа</w:t>
        </w:r>
      </w:hyperlink>
      <w:r>
        <w:t xml:space="preserve"> ФАС России от 25.04.2025 N 308/25)</w:t>
      </w:r>
    </w:p>
    <w:p w14:paraId="4BE5FFBC" w14:textId="77777777" w:rsidR="0004385C" w:rsidRDefault="0004385C">
      <w:pPr>
        <w:pStyle w:val="ConsPlusNormal"/>
        <w:spacing w:before="220"/>
        <w:ind w:firstLine="540"/>
        <w:jc w:val="both"/>
      </w:pPr>
      <w:r>
        <w:t xml:space="preserve">21. Указанные в </w:t>
      </w:r>
      <w:hyperlink w:anchor="P194">
        <w:r>
          <w:rPr>
            <w:color w:val="0000FF"/>
          </w:rPr>
          <w:t>пункте 20</w:t>
        </w:r>
      </w:hyperlink>
      <w:r>
        <w:t xml:space="preserve"> настоящей Методики документы и материалы заверяются подписью руководителя уполномоченного исполнительного органа субъекта Российской Федерации.</w:t>
      </w:r>
    </w:p>
    <w:p w14:paraId="519099DA" w14:textId="77777777" w:rsidR="0004385C" w:rsidRDefault="0004385C">
      <w:pPr>
        <w:pStyle w:val="ConsPlusNormal"/>
        <w:jc w:val="both"/>
      </w:pPr>
      <w:r>
        <w:t xml:space="preserve">(в ред. </w:t>
      </w:r>
      <w:hyperlink r:id="rId96">
        <w:r>
          <w:rPr>
            <w:color w:val="0000FF"/>
          </w:rPr>
          <w:t>Приказа</w:t>
        </w:r>
      </w:hyperlink>
      <w:r>
        <w:t xml:space="preserve"> ФАС России от 27.04.2024 N 296/24)</w:t>
      </w:r>
    </w:p>
    <w:p w14:paraId="336B0FC5" w14:textId="77777777" w:rsidR="0004385C" w:rsidRDefault="0004385C">
      <w:pPr>
        <w:pStyle w:val="ConsPlusNormal"/>
        <w:spacing w:before="220"/>
        <w:ind w:firstLine="540"/>
        <w:jc w:val="both"/>
      </w:pPr>
      <w:r>
        <w:t xml:space="preserve">22. В случае представления не в полном объеме документов и материалов, указанных в </w:t>
      </w:r>
      <w:hyperlink w:anchor="P194">
        <w:r>
          <w:rPr>
            <w:color w:val="0000FF"/>
          </w:rPr>
          <w:t>пункте 20</w:t>
        </w:r>
      </w:hyperlink>
      <w:r>
        <w:t xml:space="preserve"> настоящей Методики, заявление с представленными документами и материалами подлежат возврату в течение 7 рабочих дней со дня регистрации в федеральном органе исполнительной власти в области государственного регулирования цен (тарифов) с указанием причин возврата.</w:t>
      </w:r>
    </w:p>
    <w:p w14:paraId="2D48CEA9" w14:textId="77777777" w:rsidR="0004385C" w:rsidRDefault="0004385C">
      <w:pPr>
        <w:pStyle w:val="ConsPlusNormal"/>
        <w:spacing w:before="220"/>
        <w:ind w:firstLine="540"/>
        <w:jc w:val="both"/>
      </w:pPr>
      <w:r>
        <w:t xml:space="preserve">23. Заявление и приложенные к нему документы и материалы, представленные в соответствии с </w:t>
      </w:r>
      <w:hyperlink w:anchor="P194">
        <w:r>
          <w:rPr>
            <w:color w:val="0000FF"/>
          </w:rPr>
          <w:t>пунктом 20</w:t>
        </w:r>
      </w:hyperlink>
      <w:r>
        <w:t xml:space="preserve"> настоящей Методики, рассматриваются федеральным органом исполнительной власти в области государственного регулирования цен (тарифов) в срок не более 30 календарных дней со дня его регистрации.</w:t>
      </w:r>
    </w:p>
    <w:p w14:paraId="5D2CF7EB" w14:textId="77777777" w:rsidR="0004385C" w:rsidRDefault="0004385C">
      <w:pPr>
        <w:pStyle w:val="ConsPlusNormal"/>
        <w:spacing w:before="220"/>
        <w:ind w:firstLine="540"/>
        <w:jc w:val="both"/>
      </w:pPr>
      <w:r>
        <w:t xml:space="preserve">В случае, предусмотренном </w:t>
      </w:r>
      <w:hyperlink w:anchor="P218">
        <w:r>
          <w:rPr>
            <w:color w:val="0000FF"/>
          </w:rPr>
          <w:t>пунктом 24</w:t>
        </w:r>
      </w:hyperlink>
      <w:r>
        <w:t xml:space="preserve"> настоящей Методики, срок рассмотрения заявления и приложенных к нему документов и материалов, представленных в соответствии с </w:t>
      </w:r>
      <w:hyperlink w:anchor="P194">
        <w:r>
          <w:rPr>
            <w:color w:val="0000FF"/>
          </w:rPr>
          <w:t>пунктом 20</w:t>
        </w:r>
      </w:hyperlink>
      <w:r>
        <w:t xml:space="preserve"> настоящей Методики, может быть продлен не более чем на 10 календарных дней.</w:t>
      </w:r>
    </w:p>
    <w:p w14:paraId="212FDA00" w14:textId="77777777" w:rsidR="0004385C" w:rsidRDefault="0004385C">
      <w:pPr>
        <w:pStyle w:val="ConsPlusNormal"/>
        <w:spacing w:before="220"/>
        <w:ind w:firstLine="540"/>
        <w:jc w:val="both"/>
      </w:pPr>
      <w:r>
        <w:t>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цен (тарифов) уведомляет в письменной форме высшее должностное лицо субъекта Российской Федерации.</w:t>
      </w:r>
    </w:p>
    <w:p w14:paraId="43CAED7E" w14:textId="77777777" w:rsidR="0004385C" w:rsidRDefault="0004385C">
      <w:pPr>
        <w:pStyle w:val="ConsPlusNormal"/>
        <w:spacing w:before="220"/>
        <w:ind w:firstLine="540"/>
        <w:jc w:val="both"/>
      </w:pPr>
      <w:bookmarkStart w:id="12" w:name="P218"/>
      <w:bookmarkEnd w:id="12"/>
      <w:r>
        <w:t xml:space="preserve">24. В целях рассмотрения заявления и приложенных к нему документов и материалов, </w:t>
      </w:r>
      <w:r>
        <w:lastRenderedPageBreak/>
        <w:t xml:space="preserve">представленных в соответствии с </w:t>
      </w:r>
      <w:hyperlink w:anchor="P194">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направляет запросы в федеральные органы исполнительной власти и исполнительные органы субъекта Российской Федерации, органы местного самоуправления.</w:t>
      </w:r>
    </w:p>
    <w:p w14:paraId="5B05DD27" w14:textId="77777777" w:rsidR="0004385C" w:rsidRDefault="0004385C">
      <w:pPr>
        <w:pStyle w:val="ConsPlusNormal"/>
        <w:jc w:val="both"/>
      </w:pPr>
      <w:r>
        <w:t xml:space="preserve">(в ред. </w:t>
      </w:r>
      <w:hyperlink r:id="rId97">
        <w:r>
          <w:rPr>
            <w:color w:val="0000FF"/>
          </w:rPr>
          <w:t>Приказа</w:t>
        </w:r>
      </w:hyperlink>
      <w:r>
        <w:t xml:space="preserve"> ФАС России от 27.04.2024 N 296/24)</w:t>
      </w:r>
    </w:p>
    <w:p w14:paraId="0B020DF8" w14:textId="77777777" w:rsidR="0004385C" w:rsidRDefault="0004385C">
      <w:pPr>
        <w:pStyle w:val="ConsPlusNormal"/>
        <w:spacing w:before="220"/>
        <w:ind w:firstLine="540"/>
        <w:jc w:val="both"/>
      </w:pPr>
      <w:r>
        <w:t xml:space="preserve">25. По результатам рассмотрения заявления и приложенных к нему документов и материалов, представленных в соответствии с </w:t>
      </w:r>
      <w:hyperlink w:anchor="P194">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принимает одно из следующих решений:</w:t>
      </w:r>
    </w:p>
    <w:p w14:paraId="68DE8CAD" w14:textId="77777777" w:rsidR="0004385C" w:rsidRDefault="0004385C">
      <w:pPr>
        <w:pStyle w:val="ConsPlusNormal"/>
        <w:spacing w:before="220"/>
        <w:ind w:firstLine="540"/>
        <w:jc w:val="both"/>
      </w:pPr>
      <w:r>
        <w:t>а) согласование применения оснований установления для ГРО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3CC7C1C8" w14:textId="77777777" w:rsidR="0004385C" w:rsidRDefault="0004385C">
      <w:pPr>
        <w:pStyle w:val="ConsPlusNormal"/>
        <w:jc w:val="both"/>
      </w:pPr>
      <w:r>
        <w:t xml:space="preserve">(в ред. Приказов ФАС России от 27.04.2024 </w:t>
      </w:r>
      <w:hyperlink r:id="rId98">
        <w:r>
          <w:rPr>
            <w:color w:val="0000FF"/>
          </w:rPr>
          <w:t>N 296/24</w:t>
        </w:r>
      </w:hyperlink>
      <w:r>
        <w:t xml:space="preserve">, от 25.04.2025 </w:t>
      </w:r>
      <w:hyperlink r:id="rId99">
        <w:r>
          <w:rPr>
            <w:color w:val="0000FF"/>
          </w:rPr>
          <w:t>N 308/25</w:t>
        </w:r>
      </w:hyperlink>
      <w:r>
        <w:t>)</w:t>
      </w:r>
    </w:p>
    <w:p w14:paraId="5661F5F0" w14:textId="77777777" w:rsidR="0004385C" w:rsidRDefault="0004385C">
      <w:pPr>
        <w:pStyle w:val="ConsPlusNormal"/>
        <w:spacing w:before="220"/>
        <w:ind w:firstLine="540"/>
        <w:jc w:val="both"/>
      </w:pPr>
      <w:r>
        <w:t xml:space="preserve">б) отказ в согласовании применения оснований установления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неисполнении мероприятий, предусмотренных утвержденными межрегиональными и (или) региональными программами газификации за предшествующий период, а также в случае превышения объема средств от применения специальных надбавок над объемом средств, необходимых для реализации мероприятий, предусмотренных утвержденной межрегиональной и (или) региональной программой газификации, с учетом необходимости компенсации выпадающих доходов ГРО от технологического присоединения газоиспользующего оборудования заявителей, указанных в </w:t>
      </w:r>
      <w:hyperlink r:id="rId100">
        <w:r>
          <w:rPr>
            <w:color w:val="0000FF"/>
          </w:rPr>
          <w:t>абзаце первом пункта 26(22)</w:t>
        </w:r>
      </w:hyperlink>
      <w:r>
        <w:t xml:space="preserve"> Основных положений (Собрание законодательства Российской Федерации, 2001, N 2, ст. 175; 2021, N 38, ст. 6643).</w:t>
      </w:r>
    </w:p>
    <w:p w14:paraId="0724E1B1" w14:textId="77777777" w:rsidR="0004385C" w:rsidRDefault="0004385C">
      <w:pPr>
        <w:pStyle w:val="ConsPlusNormal"/>
        <w:jc w:val="both"/>
      </w:pPr>
      <w:r>
        <w:t xml:space="preserve">(в ред. Приказов ФАС России от 27.04.2024 </w:t>
      </w:r>
      <w:hyperlink r:id="rId101">
        <w:r>
          <w:rPr>
            <w:color w:val="0000FF"/>
          </w:rPr>
          <w:t>N 296/24</w:t>
        </w:r>
      </w:hyperlink>
      <w:r>
        <w:t xml:space="preserve">, от 25.04.2025 </w:t>
      </w:r>
      <w:hyperlink r:id="rId102">
        <w:r>
          <w:rPr>
            <w:color w:val="0000FF"/>
          </w:rPr>
          <w:t>N 308/25</w:t>
        </w:r>
      </w:hyperlink>
      <w:r>
        <w:t>)</w:t>
      </w:r>
    </w:p>
    <w:p w14:paraId="2CF2ED30" w14:textId="77777777" w:rsidR="0004385C" w:rsidRDefault="0004385C">
      <w:pPr>
        <w:pStyle w:val="ConsPlusNormal"/>
        <w:spacing w:before="220"/>
        <w:ind w:firstLine="540"/>
        <w:jc w:val="both"/>
      </w:pPr>
      <w:r>
        <w:t>26. Решение о согласовании применения оснований для установления среднего размера специальной надбавки, превышающего 50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или об отказе в таком согласовании федеральный орган исполнительной власти в области государственного регулирования цен (тарифов) направляет уполномоченному исполнительному органу субъекта Российской Федерации (в течение 3 рабочих дней со дня принятия соответствующего решения).</w:t>
      </w:r>
    </w:p>
    <w:p w14:paraId="7E821284" w14:textId="77777777" w:rsidR="0004385C" w:rsidRDefault="0004385C">
      <w:pPr>
        <w:pStyle w:val="ConsPlusNormal"/>
        <w:jc w:val="both"/>
      </w:pPr>
      <w:r>
        <w:t xml:space="preserve">(в ред. Приказов ФАС России от 27.04.2024 </w:t>
      </w:r>
      <w:hyperlink r:id="rId103">
        <w:r>
          <w:rPr>
            <w:color w:val="0000FF"/>
          </w:rPr>
          <w:t>N 296/24</w:t>
        </w:r>
      </w:hyperlink>
      <w:r>
        <w:t xml:space="preserve">, от 25.04.2025 </w:t>
      </w:r>
      <w:hyperlink r:id="rId104">
        <w:r>
          <w:rPr>
            <w:color w:val="0000FF"/>
          </w:rPr>
          <w:t>N 308/25</w:t>
        </w:r>
      </w:hyperlink>
      <w:r>
        <w:t>)</w:t>
      </w:r>
    </w:p>
    <w:p w14:paraId="5F0D481D" w14:textId="77777777" w:rsidR="0004385C" w:rsidRDefault="0004385C">
      <w:pPr>
        <w:pStyle w:val="ConsPlusNormal"/>
        <w:ind w:firstLine="540"/>
        <w:jc w:val="both"/>
      </w:pPr>
    </w:p>
    <w:p w14:paraId="1B946B9C" w14:textId="77777777" w:rsidR="0004385C" w:rsidRDefault="0004385C">
      <w:pPr>
        <w:pStyle w:val="ConsPlusNormal"/>
        <w:ind w:firstLine="540"/>
        <w:jc w:val="both"/>
      </w:pPr>
    </w:p>
    <w:p w14:paraId="27F108CE" w14:textId="77777777" w:rsidR="0004385C" w:rsidRDefault="0004385C">
      <w:pPr>
        <w:pStyle w:val="ConsPlusNormal"/>
        <w:ind w:firstLine="540"/>
        <w:jc w:val="both"/>
      </w:pPr>
    </w:p>
    <w:p w14:paraId="64EB8519" w14:textId="77777777" w:rsidR="0004385C" w:rsidRDefault="0004385C">
      <w:pPr>
        <w:pStyle w:val="ConsPlusNormal"/>
        <w:ind w:firstLine="540"/>
        <w:jc w:val="both"/>
      </w:pPr>
    </w:p>
    <w:p w14:paraId="3A5E0E1D" w14:textId="77777777" w:rsidR="0004385C" w:rsidRDefault="0004385C">
      <w:pPr>
        <w:pStyle w:val="ConsPlusNormal"/>
        <w:ind w:firstLine="540"/>
        <w:jc w:val="both"/>
      </w:pPr>
    </w:p>
    <w:p w14:paraId="455035F1" w14:textId="77777777" w:rsidR="0004385C" w:rsidRDefault="0004385C">
      <w:pPr>
        <w:pStyle w:val="ConsPlusNormal"/>
        <w:jc w:val="right"/>
        <w:outlineLvl w:val="1"/>
      </w:pPr>
      <w:bookmarkStart w:id="13" w:name="P232"/>
      <w:bookmarkEnd w:id="13"/>
      <w:r>
        <w:t>Приложение</w:t>
      </w:r>
    </w:p>
    <w:p w14:paraId="31323C5D" w14:textId="77777777" w:rsidR="0004385C" w:rsidRDefault="0004385C">
      <w:pPr>
        <w:pStyle w:val="ConsPlusNormal"/>
        <w:jc w:val="right"/>
      </w:pPr>
      <w:r>
        <w:t>к Методике определения размера</w:t>
      </w:r>
    </w:p>
    <w:p w14:paraId="6F427F25" w14:textId="77777777" w:rsidR="0004385C" w:rsidRDefault="0004385C">
      <w:pPr>
        <w:pStyle w:val="ConsPlusNormal"/>
        <w:jc w:val="right"/>
      </w:pPr>
      <w:r>
        <w:lastRenderedPageBreak/>
        <w:t>специальных надбавок к тарифам</w:t>
      </w:r>
    </w:p>
    <w:p w14:paraId="65149398" w14:textId="77777777" w:rsidR="0004385C" w:rsidRDefault="0004385C">
      <w:pPr>
        <w:pStyle w:val="ConsPlusNormal"/>
        <w:jc w:val="right"/>
      </w:pPr>
      <w:r>
        <w:t>на транспортировку газа</w:t>
      </w:r>
    </w:p>
    <w:p w14:paraId="616F1073" w14:textId="77777777" w:rsidR="0004385C" w:rsidRDefault="0004385C">
      <w:pPr>
        <w:pStyle w:val="ConsPlusNormal"/>
        <w:jc w:val="right"/>
      </w:pPr>
      <w:r>
        <w:t>газораспределительными</w:t>
      </w:r>
    </w:p>
    <w:p w14:paraId="7CD6EAA2" w14:textId="77777777" w:rsidR="0004385C" w:rsidRDefault="0004385C">
      <w:pPr>
        <w:pStyle w:val="ConsPlusNormal"/>
        <w:jc w:val="right"/>
      </w:pPr>
      <w:r>
        <w:t>организациями для финансирования</w:t>
      </w:r>
    </w:p>
    <w:p w14:paraId="5BF44767" w14:textId="77777777" w:rsidR="0004385C" w:rsidRDefault="0004385C">
      <w:pPr>
        <w:pStyle w:val="ConsPlusNormal"/>
        <w:jc w:val="right"/>
      </w:pPr>
      <w:r>
        <w:t>программ газификации</w:t>
      </w:r>
    </w:p>
    <w:p w14:paraId="456432AE" w14:textId="77777777" w:rsidR="0004385C" w:rsidRDefault="00043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4385C" w14:paraId="70CE35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F90525" w14:textId="77777777" w:rsidR="0004385C" w:rsidRDefault="00043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471E4D" w14:textId="77777777" w:rsidR="0004385C" w:rsidRDefault="00043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626336" w14:textId="77777777" w:rsidR="0004385C" w:rsidRDefault="0004385C">
            <w:pPr>
              <w:pStyle w:val="ConsPlusNormal"/>
              <w:jc w:val="center"/>
            </w:pPr>
            <w:r>
              <w:rPr>
                <w:color w:val="392C69"/>
              </w:rPr>
              <w:t>Список изменяющих документов</w:t>
            </w:r>
          </w:p>
          <w:p w14:paraId="6784F68A" w14:textId="77777777" w:rsidR="0004385C" w:rsidRDefault="0004385C">
            <w:pPr>
              <w:pStyle w:val="ConsPlusNormal"/>
              <w:jc w:val="center"/>
            </w:pPr>
            <w:r>
              <w:rPr>
                <w:color w:val="392C69"/>
              </w:rPr>
              <w:t xml:space="preserve">(в ред. </w:t>
            </w:r>
            <w:hyperlink r:id="rId105">
              <w:r>
                <w:rPr>
                  <w:color w:val="0000FF"/>
                </w:rPr>
                <w:t>Приказа</w:t>
              </w:r>
            </w:hyperlink>
            <w:r>
              <w:rPr>
                <w:color w:val="392C69"/>
              </w:rPr>
              <w:t xml:space="preserve"> ФАС России от 25.04.2025 N 308/25)</w:t>
            </w:r>
          </w:p>
        </w:tc>
        <w:tc>
          <w:tcPr>
            <w:tcW w:w="113" w:type="dxa"/>
            <w:tcBorders>
              <w:top w:val="nil"/>
              <w:left w:val="nil"/>
              <w:bottom w:val="nil"/>
              <w:right w:val="nil"/>
            </w:tcBorders>
            <w:shd w:val="clear" w:color="auto" w:fill="F4F3F8"/>
            <w:tcMar>
              <w:top w:w="0" w:type="dxa"/>
              <w:left w:w="0" w:type="dxa"/>
              <w:bottom w:w="0" w:type="dxa"/>
              <w:right w:w="0" w:type="dxa"/>
            </w:tcMar>
          </w:tcPr>
          <w:p w14:paraId="72F309DC" w14:textId="77777777" w:rsidR="0004385C" w:rsidRDefault="0004385C">
            <w:pPr>
              <w:pStyle w:val="ConsPlusNormal"/>
            </w:pPr>
          </w:p>
        </w:tc>
      </w:tr>
    </w:tbl>
    <w:p w14:paraId="31DB1415" w14:textId="77777777" w:rsidR="0004385C" w:rsidRDefault="0004385C">
      <w:pPr>
        <w:pStyle w:val="ConsPlusNormal"/>
        <w:jc w:val="center"/>
      </w:pPr>
    </w:p>
    <w:p w14:paraId="3C9E3289" w14:textId="77777777" w:rsidR="0004385C" w:rsidRDefault="0004385C">
      <w:pPr>
        <w:pStyle w:val="ConsPlusNormal"/>
        <w:jc w:val="right"/>
      </w:pPr>
      <w:r>
        <w:t>%</w:t>
      </w:r>
    </w:p>
    <w:p w14:paraId="1C05817F" w14:textId="77777777" w:rsidR="0004385C" w:rsidRDefault="0004385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04385C" w14:paraId="5BB08A46" w14:textId="77777777">
        <w:tc>
          <w:tcPr>
            <w:tcW w:w="4252" w:type="dxa"/>
            <w:vAlign w:val="bottom"/>
          </w:tcPr>
          <w:p w14:paraId="1A45A2CE" w14:textId="77777777" w:rsidR="0004385C" w:rsidRDefault="0004385C">
            <w:pPr>
              <w:pStyle w:val="ConsPlusNormal"/>
              <w:jc w:val="both"/>
            </w:pPr>
            <w:r>
              <w:t>Группы конечных потребителей</w:t>
            </w:r>
          </w:p>
        </w:tc>
        <w:tc>
          <w:tcPr>
            <w:tcW w:w="4819" w:type="dxa"/>
          </w:tcPr>
          <w:p w14:paraId="7C837F1E" w14:textId="77777777" w:rsidR="0004385C" w:rsidRDefault="0004385C">
            <w:pPr>
              <w:pStyle w:val="ConsPlusNormal"/>
            </w:pPr>
          </w:p>
        </w:tc>
      </w:tr>
      <w:tr w:rsidR="0004385C" w14:paraId="482D7F85" w14:textId="77777777">
        <w:tc>
          <w:tcPr>
            <w:tcW w:w="4252" w:type="dxa"/>
            <w:tcBorders>
              <w:bottom w:val="nil"/>
            </w:tcBorders>
            <w:vAlign w:val="center"/>
          </w:tcPr>
          <w:p w14:paraId="1EB57A52" w14:textId="77777777" w:rsidR="0004385C" w:rsidRDefault="0004385C">
            <w:pPr>
              <w:pStyle w:val="ConsPlusNormal"/>
              <w:jc w:val="both"/>
            </w:pPr>
            <w:r>
              <w:t>Группа 1а (свыше 1 млрд. м</w:t>
            </w:r>
            <w:r>
              <w:rPr>
                <w:vertAlign w:val="superscript"/>
              </w:rPr>
              <w:t>3</w:t>
            </w:r>
            <w:r>
              <w:t xml:space="preserve"> газа в год).</w:t>
            </w:r>
          </w:p>
        </w:tc>
        <w:tc>
          <w:tcPr>
            <w:tcW w:w="4819" w:type="dxa"/>
            <w:vMerge w:val="restart"/>
            <w:vAlign w:val="center"/>
          </w:tcPr>
          <w:p w14:paraId="33225BEE" w14:textId="77777777" w:rsidR="0004385C" w:rsidRDefault="0004385C">
            <w:pPr>
              <w:pStyle w:val="ConsPlusNormal"/>
              <w:jc w:val="center"/>
            </w:pPr>
            <w:r>
              <w:t>71</w:t>
            </w:r>
          </w:p>
        </w:tc>
      </w:tr>
      <w:tr w:rsidR="0004385C" w14:paraId="77E98E92" w14:textId="77777777">
        <w:tc>
          <w:tcPr>
            <w:tcW w:w="4252" w:type="dxa"/>
            <w:tcBorders>
              <w:top w:val="nil"/>
            </w:tcBorders>
            <w:vAlign w:val="bottom"/>
          </w:tcPr>
          <w:p w14:paraId="1481E4CA" w14:textId="77777777" w:rsidR="0004385C" w:rsidRDefault="0004385C">
            <w:pPr>
              <w:pStyle w:val="ConsPlusNormal"/>
              <w:jc w:val="both"/>
            </w:pPr>
            <w:r>
              <w:t>Для случаев, если услуги по транспортировке газа не оказываются 1-й группе конечных потребителей, для группы 1а применяются ограничения, соответствующие ограничениям для 1-й группы.</w:t>
            </w:r>
          </w:p>
        </w:tc>
        <w:tc>
          <w:tcPr>
            <w:tcW w:w="4819" w:type="dxa"/>
            <w:vMerge/>
          </w:tcPr>
          <w:p w14:paraId="5632DA32" w14:textId="77777777" w:rsidR="0004385C" w:rsidRDefault="0004385C">
            <w:pPr>
              <w:pStyle w:val="ConsPlusNormal"/>
            </w:pPr>
          </w:p>
        </w:tc>
      </w:tr>
      <w:tr w:rsidR="0004385C" w14:paraId="3592B1DC" w14:textId="77777777">
        <w:tc>
          <w:tcPr>
            <w:tcW w:w="4252" w:type="dxa"/>
            <w:vMerge w:val="restart"/>
            <w:vAlign w:val="center"/>
          </w:tcPr>
          <w:p w14:paraId="560F7225" w14:textId="77777777" w:rsidR="0004385C" w:rsidRDefault="0004385C">
            <w:pPr>
              <w:pStyle w:val="ConsPlusNormal"/>
              <w:jc w:val="both"/>
            </w:pPr>
            <w:r>
              <w:t>1-я группа (от 500 млн. м</w:t>
            </w:r>
            <w:r>
              <w:rPr>
                <w:vertAlign w:val="superscript"/>
              </w:rPr>
              <w:t>3</w:t>
            </w:r>
            <w:r>
              <w:t xml:space="preserve"> до 1 млрд. м</w:t>
            </w:r>
            <w:r>
              <w:rPr>
                <w:vertAlign w:val="superscript"/>
              </w:rPr>
              <w:t>3</w:t>
            </w:r>
            <w:r>
              <w:t xml:space="preserve"> газа в год включительно)</w:t>
            </w:r>
          </w:p>
        </w:tc>
        <w:tc>
          <w:tcPr>
            <w:tcW w:w="4819" w:type="dxa"/>
            <w:vAlign w:val="center"/>
          </w:tcPr>
          <w:p w14:paraId="299AE011" w14:textId="77777777" w:rsidR="0004385C" w:rsidRDefault="0004385C">
            <w:pPr>
              <w:pStyle w:val="ConsPlusNormal"/>
              <w:jc w:val="center"/>
            </w:pPr>
            <w:r>
              <w:t>67</w:t>
            </w:r>
          </w:p>
        </w:tc>
      </w:tr>
      <w:tr w:rsidR="0004385C" w14:paraId="7AD9F321" w14:textId="77777777">
        <w:tc>
          <w:tcPr>
            <w:tcW w:w="4252" w:type="dxa"/>
            <w:vMerge/>
          </w:tcPr>
          <w:p w14:paraId="57BE1BEA" w14:textId="77777777" w:rsidR="0004385C" w:rsidRDefault="0004385C">
            <w:pPr>
              <w:pStyle w:val="ConsPlusNormal"/>
            </w:pPr>
          </w:p>
        </w:tc>
        <w:tc>
          <w:tcPr>
            <w:tcW w:w="4819" w:type="dxa"/>
            <w:vAlign w:val="bottom"/>
          </w:tcPr>
          <w:p w14:paraId="3341B56D" w14:textId="77777777" w:rsidR="0004385C" w:rsidRDefault="0004385C">
            <w:pPr>
              <w:pStyle w:val="ConsPlusNormal"/>
              <w:jc w:val="center"/>
            </w:pPr>
            <w:r>
              <w:t>Для случаев, если установленный тариф на транспортировку газа для данной группы конечных потребителей составляет менее 70% от тарифа на транспортировку газа, установленного для 2-й группы конечных потребителей:</w:t>
            </w:r>
          </w:p>
        </w:tc>
      </w:tr>
      <w:tr w:rsidR="0004385C" w14:paraId="635774D4" w14:textId="77777777">
        <w:tc>
          <w:tcPr>
            <w:tcW w:w="4252" w:type="dxa"/>
            <w:vMerge/>
          </w:tcPr>
          <w:p w14:paraId="165145B5" w14:textId="77777777" w:rsidR="0004385C" w:rsidRDefault="0004385C">
            <w:pPr>
              <w:pStyle w:val="ConsPlusNormal"/>
            </w:pPr>
          </w:p>
        </w:tc>
        <w:tc>
          <w:tcPr>
            <w:tcW w:w="4819" w:type="dxa"/>
            <w:vAlign w:val="center"/>
          </w:tcPr>
          <w:p w14:paraId="46EBE906" w14:textId="77777777" w:rsidR="0004385C" w:rsidRDefault="0004385C">
            <w:pPr>
              <w:pStyle w:val="ConsPlusNormal"/>
              <w:jc w:val="center"/>
            </w:pPr>
            <w:r>
              <w:t>71</w:t>
            </w:r>
          </w:p>
        </w:tc>
      </w:tr>
      <w:tr w:rsidR="0004385C" w14:paraId="44D3377B" w14:textId="77777777">
        <w:tc>
          <w:tcPr>
            <w:tcW w:w="4252" w:type="dxa"/>
            <w:vAlign w:val="bottom"/>
          </w:tcPr>
          <w:p w14:paraId="2D29C734" w14:textId="77777777" w:rsidR="0004385C" w:rsidRDefault="0004385C">
            <w:pPr>
              <w:pStyle w:val="ConsPlusNormal"/>
              <w:jc w:val="both"/>
            </w:pPr>
            <w:r>
              <w:t>2-я группа (от 100 млн. м</w:t>
            </w:r>
            <w:r>
              <w:rPr>
                <w:vertAlign w:val="superscript"/>
              </w:rPr>
              <w:t>3</w:t>
            </w:r>
            <w:r>
              <w:t xml:space="preserve"> до 500 млн. м</w:t>
            </w:r>
            <w:r>
              <w:rPr>
                <w:vertAlign w:val="superscript"/>
              </w:rPr>
              <w:t>3</w:t>
            </w:r>
            <w:r>
              <w:t xml:space="preserve"> газа в год включительно)</w:t>
            </w:r>
          </w:p>
        </w:tc>
        <w:tc>
          <w:tcPr>
            <w:tcW w:w="4819" w:type="dxa"/>
          </w:tcPr>
          <w:p w14:paraId="36CBD5BB" w14:textId="77777777" w:rsidR="0004385C" w:rsidRDefault="0004385C">
            <w:pPr>
              <w:pStyle w:val="ConsPlusNormal"/>
              <w:jc w:val="center"/>
            </w:pPr>
            <w:r>
              <w:t>64</w:t>
            </w:r>
          </w:p>
        </w:tc>
      </w:tr>
      <w:tr w:rsidR="0004385C" w14:paraId="4B235666" w14:textId="77777777">
        <w:tc>
          <w:tcPr>
            <w:tcW w:w="4252" w:type="dxa"/>
            <w:vMerge w:val="restart"/>
            <w:vAlign w:val="center"/>
          </w:tcPr>
          <w:p w14:paraId="76044DA3" w14:textId="77777777" w:rsidR="0004385C" w:rsidRDefault="0004385C">
            <w:pPr>
              <w:pStyle w:val="ConsPlusNormal"/>
              <w:jc w:val="both"/>
            </w:pPr>
            <w:r>
              <w:t>3-я группа (от 10 млн. м</w:t>
            </w:r>
            <w:r>
              <w:rPr>
                <w:vertAlign w:val="superscript"/>
              </w:rPr>
              <w:t>3</w:t>
            </w:r>
            <w:r>
              <w:t xml:space="preserve"> до 100 млн. м</w:t>
            </w:r>
            <w:r>
              <w:rPr>
                <w:vertAlign w:val="superscript"/>
              </w:rPr>
              <w:t>3</w:t>
            </w:r>
            <w:r>
              <w:t xml:space="preserve"> газа в год включительно)</w:t>
            </w:r>
          </w:p>
        </w:tc>
        <w:tc>
          <w:tcPr>
            <w:tcW w:w="4819" w:type="dxa"/>
            <w:vAlign w:val="center"/>
          </w:tcPr>
          <w:p w14:paraId="1E234BE5" w14:textId="77777777" w:rsidR="0004385C" w:rsidRDefault="0004385C">
            <w:pPr>
              <w:pStyle w:val="ConsPlusNormal"/>
              <w:jc w:val="center"/>
            </w:pPr>
            <w:r>
              <w:t>53</w:t>
            </w:r>
          </w:p>
        </w:tc>
      </w:tr>
      <w:tr w:rsidR="0004385C" w14:paraId="5D3278A1" w14:textId="77777777">
        <w:tc>
          <w:tcPr>
            <w:tcW w:w="4252" w:type="dxa"/>
            <w:vMerge/>
          </w:tcPr>
          <w:p w14:paraId="25B66877" w14:textId="77777777" w:rsidR="0004385C" w:rsidRDefault="0004385C">
            <w:pPr>
              <w:pStyle w:val="ConsPlusNormal"/>
            </w:pPr>
          </w:p>
        </w:tc>
        <w:tc>
          <w:tcPr>
            <w:tcW w:w="4819" w:type="dxa"/>
            <w:vAlign w:val="bottom"/>
          </w:tcPr>
          <w:p w14:paraId="61D255CD" w14:textId="77777777" w:rsidR="0004385C" w:rsidRDefault="000438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04385C" w14:paraId="475A3A8F" w14:textId="77777777">
        <w:tc>
          <w:tcPr>
            <w:tcW w:w="4252" w:type="dxa"/>
            <w:vMerge/>
          </w:tcPr>
          <w:p w14:paraId="744AAC8D" w14:textId="77777777" w:rsidR="0004385C" w:rsidRDefault="0004385C">
            <w:pPr>
              <w:pStyle w:val="ConsPlusNormal"/>
            </w:pPr>
          </w:p>
        </w:tc>
        <w:tc>
          <w:tcPr>
            <w:tcW w:w="4819" w:type="dxa"/>
            <w:vAlign w:val="center"/>
          </w:tcPr>
          <w:p w14:paraId="6FCA84EC" w14:textId="77777777" w:rsidR="0004385C" w:rsidRDefault="0004385C">
            <w:pPr>
              <w:pStyle w:val="ConsPlusNormal"/>
              <w:jc w:val="center"/>
            </w:pPr>
            <w:r>
              <w:t>64</w:t>
            </w:r>
          </w:p>
        </w:tc>
      </w:tr>
      <w:tr w:rsidR="0004385C" w14:paraId="7D090010" w14:textId="77777777">
        <w:tc>
          <w:tcPr>
            <w:tcW w:w="4252" w:type="dxa"/>
            <w:vMerge w:val="restart"/>
            <w:vAlign w:val="center"/>
          </w:tcPr>
          <w:p w14:paraId="6B855E48" w14:textId="77777777" w:rsidR="0004385C" w:rsidRDefault="0004385C">
            <w:pPr>
              <w:pStyle w:val="ConsPlusNormal"/>
              <w:jc w:val="both"/>
            </w:pPr>
            <w:r>
              <w:t>4-я группа (от 1 млн. м</w:t>
            </w:r>
            <w:r>
              <w:rPr>
                <w:vertAlign w:val="superscript"/>
              </w:rPr>
              <w:t>3</w:t>
            </w:r>
            <w:r>
              <w:t xml:space="preserve"> до 10 млн. м</w:t>
            </w:r>
            <w:r>
              <w:rPr>
                <w:vertAlign w:val="superscript"/>
              </w:rPr>
              <w:t>3</w:t>
            </w:r>
            <w:r>
              <w:t xml:space="preserve"> газа в год включительно)</w:t>
            </w:r>
          </w:p>
        </w:tc>
        <w:tc>
          <w:tcPr>
            <w:tcW w:w="4819" w:type="dxa"/>
            <w:vAlign w:val="center"/>
          </w:tcPr>
          <w:p w14:paraId="767EE44B" w14:textId="77777777" w:rsidR="0004385C" w:rsidRDefault="0004385C">
            <w:pPr>
              <w:pStyle w:val="ConsPlusNormal"/>
              <w:jc w:val="center"/>
            </w:pPr>
            <w:r>
              <w:t>50</w:t>
            </w:r>
          </w:p>
        </w:tc>
      </w:tr>
      <w:tr w:rsidR="0004385C" w14:paraId="13E60592" w14:textId="77777777">
        <w:tc>
          <w:tcPr>
            <w:tcW w:w="4252" w:type="dxa"/>
            <w:vMerge/>
          </w:tcPr>
          <w:p w14:paraId="5D545887" w14:textId="77777777" w:rsidR="0004385C" w:rsidRDefault="0004385C">
            <w:pPr>
              <w:pStyle w:val="ConsPlusNormal"/>
            </w:pPr>
          </w:p>
        </w:tc>
        <w:tc>
          <w:tcPr>
            <w:tcW w:w="4819" w:type="dxa"/>
            <w:vAlign w:val="bottom"/>
          </w:tcPr>
          <w:p w14:paraId="07D5107B" w14:textId="77777777" w:rsidR="0004385C" w:rsidRDefault="000438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04385C" w14:paraId="38DB22EB" w14:textId="77777777">
        <w:tc>
          <w:tcPr>
            <w:tcW w:w="4252" w:type="dxa"/>
            <w:vMerge/>
          </w:tcPr>
          <w:p w14:paraId="7A705F11" w14:textId="77777777" w:rsidR="0004385C" w:rsidRDefault="0004385C">
            <w:pPr>
              <w:pStyle w:val="ConsPlusNormal"/>
            </w:pPr>
          </w:p>
        </w:tc>
        <w:tc>
          <w:tcPr>
            <w:tcW w:w="4819" w:type="dxa"/>
            <w:vAlign w:val="center"/>
          </w:tcPr>
          <w:p w14:paraId="43FC15BF" w14:textId="77777777" w:rsidR="0004385C" w:rsidRDefault="0004385C">
            <w:pPr>
              <w:pStyle w:val="ConsPlusNormal"/>
              <w:jc w:val="center"/>
            </w:pPr>
            <w:r>
              <w:t>59</w:t>
            </w:r>
          </w:p>
        </w:tc>
      </w:tr>
      <w:tr w:rsidR="0004385C" w14:paraId="73546640" w14:textId="77777777">
        <w:tc>
          <w:tcPr>
            <w:tcW w:w="4252" w:type="dxa"/>
            <w:vMerge w:val="restart"/>
            <w:vAlign w:val="center"/>
          </w:tcPr>
          <w:p w14:paraId="49D765BD" w14:textId="77777777" w:rsidR="0004385C" w:rsidRDefault="0004385C">
            <w:pPr>
              <w:pStyle w:val="ConsPlusNormal"/>
              <w:jc w:val="both"/>
            </w:pPr>
            <w:r>
              <w:t>5-я группа (от 100 тыс. м</w:t>
            </w:r>
            <w:r>
              <w:rPr>
                <w:vertAlign w:val="superscript"/>
              </w:rPr>
              <w:t>3</w:t>
            </w:r>
            <w:r>
              <w:t xml:space="preserve"> до 1 млн. м</w:t>
            </w:r>
            <w:r>
              <w:rPr>
                <w:vertAlign w:val="superscript"/>
              </w:rPr>
              <w:t>3</w:t>
            </w:r>
            <w:r>
              <w:t xml:space="preserve"> газа в </w:t>
            </w:r>
            <w:r>
              <w:lastRenderedPageBreak/>
              <w:t>год включительно)</w:t>
            </w:r>
          </w:p>
        </w:tc>
        <w:tc>
          <w:tcPr>
            <w:tcW w:w="4819" w:type="dxa"/>
            <w:vAlign w:val="center"/>
          </w:tcPr>
          <w:p w14:paraId="6766F1BA" w14:textId="77777777" w:rsidR="0004385C" w:rsidRDefault="0004385C">
            <w:pPr>
              <w:pStyle w:val="ConsPlusNormal"/>
              <w:jc w:val="center"/>
            </w:pPr>
            <w:r>
              <w:lastRenderedPageBreak/>
              <w:t>50</w:t>
            </w:r>
          </w:p>
        </w:tc>
      </w:tr>
      <w:tr w:rsidR="0004385C" w14:paraId="5C13A9B2" w14:textId="77777777">
        <w:tc>
          <w:tcPr>
            <w:tcW w:w="4252" w:type="dxa"/>
            <w:vMerge/>
          </w:tcPr>
          <w:p w14:paraId="07E3A4DB" w14:textId="77777777" w:rsidR="0004385C" w:rsidRDefault="0004385C">
            <w:pPr>
              <w:pStyle w:val="ConsPlusNormal"/>
            </w:pPr>
          </w:p>
        </w:tc>
        <w:tc>
          <w:tcPr>
            <w:tcW w:w="4819" w:type="dxa"/>
            <w:vAlign w:val="bottom"/>
          </w:tcPr>
          <w:p w14:paraId="433825EC" w14:textId="77777777" w:rsidR="0004385C" w:rsidRDefault="000438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04385C" w14:paraId="04E41184" w14:textId="77777777">
        <w:tc>
          <w:tcPr>
            <w:tcW w:w="4252" w:type="dxa"/>
            <w:vMerge/>
          </w:tcPr>
          <w:p w14:paraId="7961FF22" w14:textId="77777777" w:rsidR="0004385C" w:rsidRDefault="0004385C">
            <w:pPr>
              <w:pStyle w:val="ConsPlusNormal"/>
            </w:pPr>
          </w:p>
        </w:tc>
        <w:tc>
          <w:tcPr>
            <w:tcW w:w="4819" w:type="dxa"/>
            <w:vAlign w:val="center"/>
          </w:tcPr>
          <w:p w14:paraId="3F85A3A7" w14:textId="77777777" w:rsidR="0004385C" w:rsidRDefault="0004385C">
            <w:pPr>
              <w:pStyle w:val="ConsPlusNormal"/>
              <w:jc w:val="center"/>
            </w:pPr>
            <w:r>
              <w:t>54</w:t>
            </w:r>
          </w:p>
        </w:tc>
      </w:tr>
      <w:tr w:rsidR="0004385C" w14:paraId="114C30EC" w14:textId="77777777">
        <w:tc>
          <w:tcPr>
            <w:tcW w:w="4252" w:type="dxa"/>
            <w:vAlign w:val="bottom"/>
          </w:tcPr>
          <w:p w14:paraId="3C80B23F" w14:textId="77777777" w:rsidR="0004385C" w:rsidRDefault="0004385C">
            <w:pPr>
              <w:pStyle w:val="ConsPlusNormal"/>
              <w:jc w:val="both"/>
            </w:pPr>
            <w:r>
              <w:t>6-я группа (от 10 тыс. м</w:t>
            </w:r>
            <w:r>
              <w:rPr>
                <w:vertAlign w:val="superscript"/>
              </w:rPr>
              <w:t>3</w:t>
            </w:r>
            <w:r>
              <w:t xml:space="preserve"> до 100 тыс. м</w:t>
            </w:r>
            <w:r>
              <w:rPr>
                <w:vertAlign w:val="superscript"/>
              </w:rPr>
              <w:t>3</w:t>
            </w:r>
            <w:r>
              <w:t xml:space="preserve"> газа в год включительно)</w:t>
            </w:r>
          </w:p>
        </w:tc>
        <w:tc>
          <w:tcPr>
            <w:tcW w:w="4819" w:type="dxa"/>
          </w:tcPr>
          <w:p w14:paraId="3042E4B1" w14:textId="77777777" w:rsidR="0004385C" w:rsidRDefault="0004385C">
            <w:pPr>
              <w:pStyle w:val="ConsPlusNormal"/>
              <w:jc w:val="center"/>
            </w:pPr>
            <w:r>
              <w:t>50</w:t>
            </w:r>
          </w:p>
        </w:tc>
      </w:tr>
      <w:tr w:rsidR="0004385C" w14:paraId="5140E795" w14:textId="77777777">
        <w:tc>
          <w:tcPr>
            <w:tcW w:w="4252" w:type="dxa"/>
            <w:vAlign w:val="bottom"/>
          </w:tcPr>
          <w:p w14:paraId="32FD8050" w14:textId="77777777" w:rsidR="0004385C" w:rsidRDefault="0004385C">
            <w:pPr>
              <w:pStyle w:val="ConsPlusNormal"/>
              <w:jc w:val="both"/>
            </w:pPr>
            <w:r>
              <w:t>7-я группа (до 10 тыс. м</w:t>
            </w:r>
            <w:r>
              <w:rPr>
                <w:vertAlign w:val="superscript"/>
              </w:rPr>
              <w:t>3</w:t>
            </w:r>
            <w:r>
              <w:t xml:space="preserve"> газа в год включительно)</w:t>
            </w:r>
          </w:p>
        </w:tc>
        <w:tc>
          <w:tcPr>
            <w:tcW w:w="4819" w:type="dxa"/>
          </w:tcPr>
          <w:p w14:paraId="423047D7" w14:textId="77777777" w:rsidR="0004385C" w:rsidRDefault="0004385C">
            <w:pPr>
              <w:pStyle w:val="ConsPlusNormal"/>
              <w:jc w:val="center"/>
            </w:pPr>
            <w:r>
              <w:t>50</w:t>
            </w:r>
          </w:p>
        </w:tc>
      </w:tr>
    </w:tbl>
    <w:p w14:paraId="42012F39" w14:textId="77777777" w:rsidR="0004385C" w:rsidRDefault="0004385C">
      <w:pPr>
        <w:pStyle w:val="ConsPlusNormal"/>
        <w:ind w:firstLine="540"/>
        <w:jc w:val="both"/>
      </w:pPr>
    </w:p>
    <w:p w14:paraId="427D6D5B" w14:textId="77777777" w:rsidR="0004385C" w:rsidRDefault="0004385C">
      <w:pPr>
        <w:pStyle w:val="ConsPlusNormal"/>
        <w:ind w:firstLine="540"/>
        <w:jc w:val="both"/>
      </w:pPr>
    </w:p>
    <w:p w14:paraId="60D9191E" w14:textId="77777777" w:rsidR="0004385C" w:rsidRDefault="0004385C">
      <w:pPr>
        <w:pStyle w:val="ConsPlusNormal"/>
        <w:pBdr>
          <w:bottom w:val="single" w:sz="6" w:space="0" w:color="auto"/>
        </w:pBdr>
        <w:spacing w:before="100" w:after="100"/>
        <w:jc w:val="both"/>
        <w:rPr>
          <w:sz w:val="2"/>
          <w:szCs w:val="2"/>
        </w:rPr>
      </w:pPr>
    </w:p>
    <w:p w14:paraId="6537174F" w14:textId="77777777" w:rsidR="003D6B93" w:rsidRDefault="003D6B93"/>
    <w:sectPr w:rsidR="003D6B93" w:rsidSect="00043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5C"/>
    <w:rsid w:val="0004385C"/>
    <w:rsid w:val="000C5792"/>
    <w:rsid w:val="002974C9"/>
    <w:rsid w:val="003D6B93"/>
    <w:rsid w:val="00B1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9ED"/>
  <w15:chartTrackingRefBased/>
  <w15:docId w15:val="{A9DDEE41-3758-4971-B89D-703ADDE7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3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43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438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438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438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438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38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38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38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85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4385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4385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4385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4385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4385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385C"/>
    <w:rPr>
      <w:rFonts w:eastAsiaTheme="majorEastAsia" w:cstheme="majorBidi"/>
      <w:color w:val="595959" w:themeColor="text1" w:themeTint="A6"/>
    </w:rPr>
  </w:style>
  <w:style w:type="character" w:customStyle="1" w:styleId="80">
    <w:name w:val="Заголовок 8 Знак"/>
    <w:basedOn w:val="a0"/>
    <w:link w:val="8"/>
    <w:uiPriority w:val="9"/>
    <w:semiHidden/>
    <w:rsid w:val="0004385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385C"/>
    <w:rPr>
      <w:rFonts w:eastAsiaTheme="majorEastAsia" w:cstheme="majorBidi"/>
      <w:color w:val="272727" w:themeColor="text1" w:themeTint="D8"/>
    </w:rPr>
  </w:style>
  <w:style w:type="paragraph" w:styleId="a3">
    <w:name w:val="Title"/>
    <w:basedOn w:val="a"/>
    <w:next w:val="a"/>
    <w:link w:val="a4"/>
    <w:uiPriority w:val="10"/>
    <w:qFormat/>
    <w:rsid w:val="0004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3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85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38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385C"/>
    <w:pPr>
      <w:spacing w:before="160"/>
      <w:jc w:val="center"/>
    </w:pPr>
    <w:rPr>
      <w:i/>
      <w:iCs/>
      <w:color w:val="404040" w:themeColor="text1" w:themeTint="BF"/>
    </w:rPr>
  </w:style>
  <w:style w:type="character" w:customStyle="1" w:styleId="22">
    <w:name w:val="Цитата 2 Знак"/>
    <w:basedOn w:val="a0"/>
    <w:link w:val="21"/>
    <w:uiPriority w:val="29"/>
    <w:rsid w:val="0004385C"/>
    <w:rPr>
      <w:i/>
      <w:iCs/>
      <w:color w:val="404040" w:themeColor="text1" w:themeTint="BF"/>
    </w:rPr>
  </w:style>
  <w:style w:type="paragraph" w:styleId="a7">
    <w:name w:val="List Paragraph"/>
    <w:basedOn w:val="a"/>
    <w:uiPriority w:val="34"/>
    <w:qFormat/>
    <w:rsid w:val="0004385C"/>
    <w:pPr>
      <w:ind w:left="720"/>
      <w:contextualSpacing/>
    </w:pPr>
  </w:style>
  <w:style w:type="character" w:styleId="a8">
    <w:name w:val="Intense Emphasis"/>
    <w:basedOn w:val="a0"/>
    <w:uiPriority w:val="21"/>
    <w:qFormat/>
    <w:rsid w:val="0004385C"/>
    <w:rPr>
      <w:i/>
      <w:iCs/>
      <w:color w:val="2F5496" w:themeColor="accent1" w:themeShade="BF"/>
    </w:rPr>
  </w:style>
  <w:style w:type="paragraph" w:styleId="a9">
    <w:name w:val="Intense Quote"/>
    <w:basedOn w:val="a"/>
    <w:next w:val="a"/>
    <w:link w:val="aa"/>
    <w:uiPriority w:val="30"/>
    <w:qFormat/>
    <w:rsid w:val="00043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4385C"/>
    <w:rPr>
      <w:i/>
      <w:iCs/>
      <w:color w:val="2F5496" w:themeColor="accent1" w:themeShade="BF"/>
    </w:rPr>
  </w:style>
  <w:style w:type="character" w:styleId="ab">
    <w:name w:val="Intense Reference"/>
    <w:basedOn w:val="a0"/>
    <w:uiPriority w:val="32"/>
    <w:qFormat/>
    <w:rsid w:val="0004385C"/>
    <w:rPr>
      <w:b/>
      <w:bCs/>
      <w:smallCaps/>
      <w:color w:val="2F5496" w:themeColor="accent1" w:themeShade="BF"/>
      <w:spacing w:val="5"/>
    </w:rPr>
  </w:style>
  <w:style w:type="paragraph" w:customStyle="1" w:styleId="ConsPlusNormal">
    <w:name w:val="ConsPlusNormal"/>
    <w:rsid w:val="0004385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04385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04385C"/>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704&amp;dst=232" TargetMode="External"/><Relationship Id="rId21" Type="http://schemas.openxmlformats.org/officeDocument/2006/relationships/hyperlink" Target="https://login.consultant.ru/link/?req=doc&amp;base=LAW&amp;n=506940&amp;dst=100007" TargetMode="External"/><Relationship Id="rId42" Type="http://schemas.openxmlformats.org/officeDocument/2006/relationships/image" Target="media/image7.wmf"/><Relationship Id="rId47" Type="http://schemas.openxmlformats.org/officeDocument/2006/relationships/image" Target="media/image9.wmf"/><Relationship Id="rId63" Type="http://schemas.openxmlformats.org/officeDocument/2006/relationships/hyperlink" Target="https://login.consultant.ru/link/?req=doc&amp;base=LAW&amp;n=490016&amp;dst=100047" TargetMode="External"/><Relationship Id="rId68" Type="http://schemas.openxmlformats.org/officeDocument/2006/relationships/hyperlink" Target="https://login.consultant.ru/link/?req=doc&amp;base=LAW&amp;n=121335&amp;dst=100019" TargetMode="External"/><Relationship Id="rId84" Type="http://schemas.openxmlformats.org/officeDocument/2006/relationships/hyperlink" Target="https://login.consultant.ru/link/?req=doc&amp;base=LAW&amp;n=490016&amp;dst=100051" TargetMode="External"/><Relationship Id="rId89" Type="http://schemas.openxmlformats.org/officeDocument/2006/relationships/hyperlink" Target="https://login.consultant.ru/link/?req=doc&amp;base=LAW&amp;n=490016&amp;dst=100051" TargetMode="External"/><Relationship Id="rId7" Type="http://schemas.openxmlformats.org/officeDocument/2006/relationships/hyperlink" Target="https://login.consultant.ru/link/?req=doc&amp;base=LAW&amp;n=490016&amp;dst=100006" TargetMode="External"/><Relationship Id="rId71" Type="http://schemas.openxmlformats.org/officeDocument/2006/relationships/image" Target="media/image17.wmf"/><Relationship Id="rId92" Type="http://schemas.openxmlformats.org/officeDocument/2006/relationships/hyperlink" Target="https://login.consultant.ru/link/?req=doc&amp;base=LAW&amp;n=506940&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490016&amp;dst=100009" TargetMode="External"/><Relationship Id="rId29" Type="http://schemas.openxmlformats.org/officeDocument/2006/relationships/hyperlink" Target="https://login.consultant.ru/link/?req=doc&amp;base=LAW&amp;n=490016&amp;dst=100018" TargetMode="External"/><Relationship Id="rId107" Type="http://schemas.openxmlformats.org/officeDocument/2006/relationships/theme" Target="theme/theme1.xml"/><Relationship Id="rId11" Type="http://schemas.openxmlformats.org/officeDocument/2006/relationships/hyperlink" Target="https://login.consultant.ru/link/?req=doc&amp;base=LAW&amp;n=493144&amp;dst=100011" TargetMode="External"/><Relationship Id="rId24" Type="http://schemas.openxmlformats.org/officeDocument/2006/relationships/hyperlink" Target="https://login.consultant.ru/link/?req=doc&amp;base=LAW&amp;n=490016&amp;dst=100015" TargetMode="External"/><Relationship Id="rId32" Type="http://schemas.openxmlformats.org/officeDocument/2006/relationships/hyperlink" Target="https://login.consultant.ru/link/?req=doc&amp;base=LAW&amp;n=495704&amp;dst=157" TargetMode="External"/><Relationship Id="rId37" Type="http://schemas.openxmlformats.org/officeDocument/2006/relationships/hyperlink" Target="https://login.consultant.ru/link/?req=doc&amp;base=LAW&amp;n=495704&amp;dst=157" TargetMode="External"/><Relationship Id="rId40" Type="http://schemas.openxmlformats.org/officeDocument/2006/relationships/hyperlink" Target="https://login.consultant.ru/link/?req=doc&amp;base=LAW&amp;n=495704&amp;dst=232" TargetMode="External"/><Relationship Id="rId45" Type="http://schemas.openxmlformats.org/officeDocument/2006/relationships/hyperlink" Target="https://login.consultant.ru/link/?req=doc&amp;base=LAW&amp;n=508518&amp;dst=103572" TargetMode="External"/><Relationship Id="rId53" Type="http://schemas.openxmlformats.org/officeDocument/2006/relationships/hyperlink" Target="https://login.consultant.ru/link/?req=doc&amp;base=LAW&amp;n=490016&amp;dst=100036" TargetMode="External"/><Relationship Id="rId58" Type="http://schemas.openxmlformats.org/officeDocument/2006/relationships/hyperlink" Target="https://login.consultant.ru/link/?req=doc&amp;base=LAW&amp;n=495704&amp;dst=133" TargetMode="External"/><Relationship Id="rId66" Type="http://schemas.openxmlformats.org/officeDocument/2006/relationships/hyperlink" Target="https://login.consultant.ru/link/?req=doc&amp;base=LAW&amp;n=490016&amp;dst=100049" TargetMode="External"/><Relationship Id="rId74" Type="http://schemas.openxmlformats.org/officeDocument/2006/relationships/image" Target="media/image19.wmf"/><Relationship Id="rId79" Type="http://schemas.openxmlformats.org/officeDocument/2006/relationships/hyperlink" Target="https://login.consultant.ru/link/?req=doc&amp;base=LAW&amp;n=506940&amp;dst=100012" TargetMode="External"/><Relationship Id="rId87" Type="http://schemas.openxmlformats.org/officeDocument/2006/relationships/hyperlink" Target="https://login.consultant.ru/link/?req=doc&amp;base=LAW&amp;n=490016&amp;dst=100051" TargetMode="External"/><Relationship Id="rId102" Type="http://schemas.openxmlformats.org/officeDocument/2006/relationships/hyperlink" Target="https://login.consultant.ru/link/?req=doc&amp;base=LAW&amp;n=506940&amp;dst=100011" TargetMode="External"/><Relationship Id="rId5" Type="http://schemas.openxmlformats.org/officeDocument/2006/relationships/hyperlink" Target="https://login.consultant.ru/link/?req=doc&amp;base=LAW&amp;n=171818&amp;dst=100006" TargetMode="External"/><Relationship Id="rId61" Type="http://schemas.openxmlformats.org/officeDocument/2006/relationships/hyperlink" Target="https://login.consultant.ru/link/?req=doc&amp;base=LAW&amp;n=506940&amp;dst=100011" TargetMode="External"/><Relationship Id="rId82" Type="http://schemas.openxmlformats.org/officeDocument/2006/relationships/hyperlink" Target="https://login.consultant.ru/link/?req=doc&amp;base=LAW&amp;n=506940&amp;dst=100011" TargetMode="External"/><Relationship Id="rId90" Type="http://schemas.openxmlformats.org/officeDocument/2006/relationships/hyperlink" Target="https://login.consultant.ru/link/?req=doc&amp;base=LAW&amp;n=506940&amp;dst=100011" TargetMode="External"/><Relationship Id="rId95" Type="http://schemas.openxmlformats.org/officeDocument/2006/relationships/hyperlink" Target="https://login.consultant.ru/link/?req=doc&amp;base=LAW&amp;n=506940&amp;dst=100011" TargetMode="External"/><Relationship Id="rId19" Type="http://schemas.openxmlformats.org/officeDocument/2006/relationships/hyperlink" Target="https://login.consultant.ru/link/?req=doc&amp;base=LAW&amp;n=399329&amp;dst=100006" TargetMode="External"/><Relationship Id="rId14" Type="http://schemas.openxmlformats.org/officeDocument/2006/relationships/hyperlink" Target="https://login.consultant.ru/link/?req=doc&amp;base=LAW&amp;n=105837" TargetMode="External"/><Relationship Id="rId22" Type="http://schemas.openxmlformats.org/officeDocument/2006/relationships/hyperlink" Target="https://login.consultant.ru/link/?req=doc&amp;base=LAW&amp;n=471085&amp;dst=100097" TargetMode="External"/><Relationship Id="rId27" Type="http://schemas.openxmlformats.org/officeDocument/2006/relationships/hyperlink" Target="https://login.consultant.ru/link/?req=doc&amp;base=LAW&amp;n=495704&amp;dst=234" TargetMode="External"/><Relationship Id="rId30" Type="http://schemas.openxmlformats.org/officeDocument/2006/relationships/hyperlink" Target="https://login.consultant.ru/link/?req=doc&amp;base=LAW&amp;n=493144&amp;dst=100017" TargetMode="External"/><Relationship Id="rId35" Type="http://schemas.openxmlformats.org/officeDocument/2006/relationships/image" Target="media/image3.wmf"/><Relationship Id="rId43" Type="http://schemas.openxmlformats.org/officeDocument/2006/relationships/hyperlink" Target="https://login.consultant.ru/link/?req=doc&amp;base=LAW&amp;n=508518&amp;dst=103572" TargetMode="External"/><Relationship Id="rId48" Type="http://schemas.openxmlformats.org/officeDocument/2006/relationships/image" Target="media/image10.wmf"/><Relationship Id="rId56" Type="http://schemas.openxmlformats.org/officeDocument/2006/relationships/image" Target="media/image13.wmf"/><Relationship Id="rId64" Type="http://schemas.openxmlformats.org/officeDocument/2006/relationships/hyperlink" Target="https://login.consultant.ru/link/?req=doc&amp;base=LAW&amp;n=506940&amp;dst=100011" TargetMode="External"/><Relationship Id="rId69" Type="http://schemas.openxmlformats.org/officeDocument/2006/relationships/image" Target="media/image15.wmf"/><Relationship Id="rId77" Type="http://schemas.openxmlformats.org/officeDocument/2006/relationships/hyperlink" Target="https://login.consultant.ru/link/?req=doc&amp;base=LAW&amp;n=490016&amp;dst=100052" TargetMode="External"/><Relationship Id="rId100" Type="http://schemas.openxmlformats.org/officeDocument/2006/relationships/hyperlink" Target="https://login.consultant.ru/link/?req=doc&amp;base=LAW&amp;n=495704&amp;dst=157" TargetMode="External"/><Relationship Id="rId105" Type="http://schemas.openxmlformats.org/officeDocument/2006/relationships/hyperlink" Target="https://login.consultant.ru/link/?req=doc&amp;base=LAW&amp;n=506940&amp;dst=100014" TargetMode="External"/><Relationship Id="rId8" Type="http://schemas.openxmlformats.org/officeDocument/2006/relationships/hyperlink" Target="https://login.consultant.ru/link/?req=doc&amp;base=LAW&amp;n=506940&amp;dst=100006" TargetMode="External"/><Relationship Id="rId51" Type="http://schemas.openxmlformats.org/officeDocument/2006/relationships/hyperlink" Target="https://login.consultant.ru/link/?req=doc&amp;base=LAW&amp;n=508518&amp;dst=103572" TargetMode="External"/><Relationship Id="rId72" Type="http://schemas.openxmlformats.org/officeDocument/2006/relationships/image" Target="media/image18.wmf"/><Relationship Id="rId80" Type="http://schemas.openxmlformats.org/officeDocument/2006/relationships/hyperlink" Target="https://login.consultant.ru/link/?req=doc&amp;base=LAW&amp;n=399329&amp;dst=100023" TargetMode="External"/><Relationship Id="rId85" Type="http://schemas.openxmlformats.org/officeDocument/2006/relationships/hyperlink" Target="https://login.consultant.ru/link/?req=doc&amp;base=LAW&amp;n=506940&amp;dst=100011" TargetMode="External"/><Relationship Id="rId93" Type="http://schemas.openxmlformats.org/officeDocument/2006/relationships/hyperlink" Target="https://login.consultant.ru/link/?req=doc&amp;base=LAW&amp;n=506940&amp;dst=100011" TargetMode="External"/><Relationship Id="rId98" Type="http://schemas.openxmlformats.org/officeDocument/2006/relationships/hyperlink" Target="https://login.consultant.ru/link/?req=doc&amp;base=LAW&amp;n=490016&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05893" TargetMode="External"/><Relationship Id="rId17" Type="http://schemas.openxmlformats.org/officeDocument/2006/relationships/hyperlink" Target="https://login.consultant.ru/link/?req=doc&amp;base=LAW&amp;n=121335&amp;dst=100006" TargetMode="External"/><Relationship Id="rId25" Type="http://schemas.openxmlformats.org/officeDocument/2006/relationships/hyperlink" Target="https://login.consultant.ru/link/?req=doc&amp;base=LAW&amp;n=495704&amp;dst=157" TargetMode="External"/><Relationship Id="rId33" Type="http://schemas.openxmlformats.org/officeDocument/2006/relationships/image" Target="media/image1.wmf"/><Relationship Id="rId38" Type="http://schemas.openxmlformats.org/officeDocument/2006/relationships/hyperlink" Target="https://login.consultant.ru/link/?req=doc&amp;base=LAW&amp;n=495704&amp;dst=234" TargetMode="External"/><Relationship Id="rId46" Type="http://schemas.openxmlformats.org/officeDocument/2006/relationships/image" Target="media/image8.wmf"/><Relationship Id="rId59" Type="http://schemas.openxmlformats.org/officeDocument/2006/relationships/hyperlink" Target="https://login.consultant.ru/link/?req=doc&amp;base=LAW&amp;n=490016&amp;dst=100045" TargetMode="External"/><Relationship Id="rId67" Type="http://schemas.openxmlformats.org/officeDocument/2006/relationships/hyperlink" Target="https://login.consultant.ru/link/?req=doc&amp;base=LAW&amp;n=399329&amp;dst=100013" TargetMode="External"/><Relationship Id="rId103" Type="http://schemas.openxmlformats.org/officeDocument/2006/relationships/hyperlink" Target="https://login.consultant.ru/link/?req=doc&amp;base=LAW&amp;n=490016&amp;dst=100054" TargetMode="External"/><Relationship Id="rId20" Type="http://schemas.openxmlformats.org/officeDocument/2006/relationships/hyperlink" Target="https://login.consultant.ru/link/?req=doc&amp;base=LAW&amp;n=490016&amp;dst=100011" TargetMode="External"/><Relationship Id="rId41" Type="http://schemas.openxmlformats.org/officeDocument/2006/relationships/image" Target="media/image6.wmf"/><Relationship Id="rId54" Type="http://schemas.openxmlformats.org/officeDocument/2006/relationships/hyperlink" Target="https://login.consultant.ru/link/?req=doc&amp;base=LAW&amp;n=121335&amp;dst=100007" TargetMode="External"/><Relationship Id="rId62" Type="http://schemas.openxmlformats.org/officeDocument/2006/relationships/hyperlink" Target="https://login.consultant.ru/link/?req=doc&amp;base=LAW&amp;n=490016&amp;dst=100046" TargetMode="External"/><Relationship Id="rId70" Type="http://schemas.openxmlformats.org/officeDocument/2006/relationships/image" Target="media/image16.wmf"/><Relationship Id="rId75" Type="http://schemas.openxmlformats.org/officeDocument/2006/relationships/image" Target="media/image20.wmf"/><Relationship Id="rId83" Type="http://schemas.openxmlformats.org/officeDocument/2006/relationships/hyperlink" Target="https://login.consultant.ru/link/?req=doc&amp;base=LAW&amp;n=495704&amp;dst=157" TargetMode="External"/><Relationship Id="rId88" Type="http://schemas.openxmlformats.org/officeDocument/2006/relationships/hyperlink" Target="https://login.consultant.ru/link/?req=doc&amp;base=LAW&amp;n=506940&amp;dst=100011" TargetMode="External"/><Relationship Id="rId91" Type="http://schemas.openxmlformats.org/officeDocument/2006/relationships/hyperlink" Target="https://login.consultant.ru/link/?req=doc&amp;base=LAW&amp;n=490016&amp;dst=100056" TargetMode="External"/><Relationship Id="rId96" Type="http://schemas.openxmlformats.org/officeDocument/2006/relationships/hyperlink" Target="https://login.consultant.ru/link/?req=doc&amp;base=LAW&amp;n=490016&amp;dst=100057" TargetMode="External"/><Relationship Id="rId1" Type="http://schemas.openxmlformats.org/officeDocument/2006/relationships/styles" Target="styles.xml"/><Relationship Id="rId6" Type="http://schemas.openxmlformats.org/officeDocument/2006/relationships/hyperlink" Target="https://login.consultant.ru/link/?req=doc&amp;base=LAW&amp;n=399329&amp;dst=100006" TargetMode="External"/><Relationship Id="rId15" Type="http://schemas.openxmlformats.org/officeDocument/2006/relationships/hyperlink" Target="https://login.consultant.ru/link/?req=doc&amp;base=LAW&amp;n=506940&amp;dst=100006" TargetMode="External"/><Relationship Id="rId23" Type="http://schemas.openxmlformats.org/officeDocument/2006/relationships/hyperlink" Target="https://login.consultant.ru/link/?req=doc&amp;base=LAW&amp;n=493144&amp;dst=100011" TargetMode="External"/><Relationship Id="rId28" Type="http://schemas.openxmlformats.org/officeDocument/2006/relationships/hyperlink" Target="https://login.consultant.ru/link/?req=doc&amp;base=LAW&amp;n=506940&amp;dst=100013" TargetMode="External"/><Relationship Id="rId36" Type="http://schemas.openxmlformats.org/officeDocument/2006/relationships/image" Target="media/image4.wmf"/><Relationship Id="rId49" Type="http://schemas.openxmlformats.org/officeDocument/2006/relationships/image" Target="media/image11.wmf"/><Relationship Id="rId57" Type="http://schemas.openxmlformats.org/officeDocument/2006/relationships/image" Target="media/image14.wmf"/><Relationship Id="rId106" Type="http://schemas.openxmlformats.org/officeDocument/2006/relationships/fontTable" Target="fontTable.xml"/><Relationship Id="rId10" Type="http://schemas.openxmlformats.org/officeDocument/2006/relationships/hyperlink" Target="https://login.consultant.ru/link/?req=doc&amp;base=LAW&amp;n=177300&amp;dst=100033" TargetMode="External"/><Relationship Id="rId31" Type="http://schemas.openxmlformats.org/officeDocument/2006/relationships/hyperlink" Target="https://login.consultant.ru/link/?req=doc&amp;base=LAW&amp;n=495704&amp;dst=157" TargetMode="External"/><Relationship Id="rId44" Type="http://schemas.openxmlformats.org/officeDocument/2006/relationships/hyperlink" Target="https://login.consultant.ru/link/?req=doc&amp;base=LAW&amp;n=490016&amp;dst=100026" TargetMode="External"/><Relationship Id="rId52" Type="http://schemas.openxmlformats.org/officeDocument/2006/relationships/image" Target="media/image12.wmf"/><Relationship Id="rId60" Type="http://schemas.openxmlformats.org/officeDocument/2006/relationships/hyperlink" Target="https://login.consultant.ru/link/?req=doc&amp;base=LAW&amp;n=506940&amp;dst=100011" TargetMode="External"/><Relationship Id="rId65" Type="http://schemas.openxmlformats.org/officeDocument/2006/relationships/hyperlink" Target="https://login.consultant.ru/link/?req=doc&amp;base=LAW&amp;n=493144&amp;dst=10" TargetMode="External"/><Relationship Id="rId73" Type="http://schemas.openxmlformats.org/officeDocument/2006/relationships/hyperlink" Target="https://login.consultant.ru/link/?req=doc&amp;base=LAW&amp;n=490016&amp;dst=100052" TargetMode="External"/><Relationship Id="rId78" Type="http://schemas.openxmlformats.org/officeDocument/2006/relationships/hyperlink" Target="https://login.consultant.ru/link/?req=doc&amp;base=LAW&amp;n=490016&amp;dst=100053" TargetMode="External"/><Relationship Id="rId81" Type="http://schemas.openxmlformats.org/officeDocument/2006/relationships/hyperlink" Target="https://login.consultant.ru/link/?req=doc&amp;base=LAW&amp;n=490016&amp;dst=100051" TargetMode="External"/><Relationship Id="rId86" Type="http://schemas.openxmlformats.org/officeDocument/2006/relationships/hyperlink" Target="https://login.consultant.ru/link/?req=doc&amp;base=LAW&amp;n=506940&amp;dst=100011" TargetMode="External"/><Relationship Id="rId94" Type="http://schemas.openxmlformats.org/officeDocument/2006/relationships/hyperlink" Target="https://login.consultant.ru/link/?req=doc&amp;base=LAW&amp;n=506940&amp;dst=100011" TargetMode="External"/><Relationship Id="rId99" Type="http://schemas.openxmlformats.org/officeDocument/2006/relationships/hyperlink" Target="https://login.consultant.ru/link/?req=doc&amp;base=LAW&amp;n=506940&amp;dst=100011" TargetMode="External"/><Relationship Id="rId101" Type="http://schemas.openxmlformats.org/officeDocument/2006/relationships/hyperlink" Target="https://login.consultant.ru/link/?req=doc&amp;base=LAW&amp;n=490016&amp;dst=100051" TargetMode="External"/><Relationship Id="rId4" Type="http://schemas.openxmlformats.org/officeDocument/2006/relationships/hyperlink" Target="https://login.consultant.ru/link/?req=doc&amp;base=LAW&amp;n=121335&amp;dst=100006" TargetMode="External"/><Relationship Id="rId9" Type="http://schemas.openxmlformats.org/officeDocument/2006/relationships/hyperlink" Target="https://login.consultant.ru/link/?req=doc&amp;base=LAW&amp;n=471085&amp;dst=100097" TargetMode="External"/><Relationship Id="rId13" Type="http://schemas.openxmlformats.org/officeDocument/2006/relationships/hyperlink" Target="https://login.consultant.ru/link/?req=doc&amp;base=LAW&amp;n=82965" TargetMode="External"/><Relationship Id="rId18" Type="http://schemas.openxmlformats.org/officeDocument/2006/relationships/hyperlink" Target="https://login.consultant.ru/link/?req=doc&amp;base=LAW&amp;n=171818&amp;dst=100006" TargetMode="External"/><Relationship Id="rId39" Type="http://schemas.openxmlformats.org/officeDocument/2006/relationships/image" Target="media/image5.wmf"/><Relationship Id="rId34" Type="http://schemas.openxmlformats.org/officeDocument/2006/relationships/image" Target="media/image2.wmf"/><Relationship Id="rId50" Type="http://schemas.openxmlformats.org/officeDocument/2006/relationships/hyperlink" Target="https://login.consultant.ru/link/?req=doc&amp;base=LAW&amp;n=508518&amp;dst=103572" TargetMode="External"/><Relationship Id="rId55" Type="http://schemas.openxmlformats.org/officeDocument/2006/relationships/hyperlink" Target="https://login.consultant.ru/link/?req=doc&amp;base=LAW&amp;n=121335&amp;dst=100008" TargetMode="External"/><Relationship Id="rId76" Type="http://schemas.openxmlformats.org/officeDocument/2006/relationships/image" Target="media/image21.wmf"/><Relationship Id="rId97" Type="http://schemas.openxmlformats.org/officeDocument/2006/relationships/hyperlink" Target="https://login.consultant.ru/link/?req=doc&amp;base=LAW&amp;n=490016&amp;dst=100058" TargetMode="External"/><Relationship Id="rId104" Type="http://schemas.openxmlformats.org/officeDocument/2006/relationships/hyperlink" Target="https://login.consultant.ru/link/?req=doc&amp;base=LAW&amp;n=5069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8141</Words>
  <Characters>46410</Characters>
  <Application>Microsoft Office Word</Application>
  <DocSecurity>0</DocSecurity>
  <Lines>386</Lines>
  <Paragraphs>108</Paragraphs>
  <ScaleCrop>false</ScaleCrop>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2025-08-04T12:41:00Z</dcterms:created>
  <dcterms:modified xsi:type="dcterms:W3CDTF">2025-08-04T12:42:00Z</dcterms:modified>
</cp:coreProperties>
</file>