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31BCF19C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431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</w:t>
      </w:r>
    </w:p>
    <w:p w14:paraId="4301E373" w14:textId="77777777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2E160932" w:rsidR="00592D3F" w:rsidRPr="00E77105" w:rsidRDefault="00592D3F" w:rsidP="0003748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0374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0CA06CA1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сфер</w:t>
      </w:r>
      <w:r w:rsidR="00901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ах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32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естественных монополий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осуществляемому региональной службо</w:t>
      </w:r>
      <w:r w:rsidR="004310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по тарифам Кировской области</w:t>
      </w:r>
      <w:r w:rsidR="00AC5F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4310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FF1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C84B01A" w14:textId="77777777" w:rsidR="00592D3F" w:rsidRPr="00EB515A" w:rsidRDefault="00592D3F" w:rsidP="002A2B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08FFD41C" w:rsidR="00592D3F" w:rsidRPr="00422512" w:rsidRDefault="00592D3F" w:rsidP="002A2B6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по региональному государственному контролю (надзору) в сфер</w:t>
      </w:r>
      <w:r w:rsidR="00037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3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естественных монополий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</w:t>
      </w:r>
      <w:r w:rsidR="00FF1DF5">
        <w:rPr>
          <w:rFonts w:ascii="Times New Roman" w:hAnsi="Times New Roman" w:cs="Times New Roman"/>
          <w:sz w:val="28"/>
          <w:szCs w:val="28"/>
        </w:rPr>
        <w:t>26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статьей 4</w:t>
      </w:r>
      <w:r w:rsidR="003C48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Федерального закона от 31.07.2020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</w:t>
      </w:r>
      <w:r w:rsidR="003C487A">
        <w:rPr>
          <w:rFonts w:ascii="Times New Roman" w:hAnsi="Times New Roman" w:cs="Times New Roman"/>
          <w:sz w:val="28"/>
          <w:szCs w:val="28"/>
        </w:rPr>
        <w:t>Российской Федерации от 25.06.2021</w:t>
      </w:r>
      <w:r w:rsidRPr="00422512">
        <w:rPr>
          <w:rFonts w:ascii="Times New Roman" w:hAnsi="Times New Roman" w:cs="Times New Roman"/>
          <w:sz w:val="28"/>
          <w:szCs w:val="28"/>
        </w:rPr>
        <w:t xml:space="preserve"> 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.10.2021 № 5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в 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сферах естественных монополий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Службой регионал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государственного контроля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(надзора).</w:t>
      </w:r>
    </w:p>
    <w:p w14:paraId="7A206D2C" w14:textId="5319D2DF" w:rsidR="00592D3F" w:rsidRPr="00422512" w:rsidRDefault="00592D3F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lastRenderedPageBreak/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в сфер</w:t>
      </w:r>
      <w:r w:rsidR="009373CC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3256">
        <w:rPr>
          <w:rFonts w:ascii="Times New Roman" w:eastAsia="Calibri" w:hAnsi="Times New Roman" w:cs="Times New Roman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hAnsi="Times New Roman" w:cs="Times New Roman"/>
          <w:sz w:val="28"/>
          <w:szCs w:val="28"/>
        </w:rPr>
        <w:t>.</w:t>
      </w:r>
    </w:p>
    <w:p w14:paraId="49092C2B" w14:textId="77777777" w:rsidR="00592D3F" w:rsidRPr="00422512" w:rsidRDefault="00592D3F" w:rsidP="002A2B6C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FF038C5" w14:textId="77777777" w:rsidR="00592D3F" w:rsidRPr="00422512" w:rsidRDefault="00592D3F" w:rsidP="002A2B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64C1AA5" w14:textId="77777777" w:rsidR="00AC5F99" w:rsidRDefault="00592D3F" w:rsidP="002A2B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ADCEE1C" w14:textId="60A71776" w:rsidR="007C1BE0" w:rsidRPr="00AC5F99" w:rsidRDefault="00592D3F" w:rsidP="002A2B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BF04A24" w14:textId="10EA262C" w:rsidR="004C3256" w:rsidRDefault="004C3256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регионального государственного контроля (надзора) является</w:t>
      </w:r>
      <w:r w:rsidR="006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субъектами естественных монополий обязательных требований, установленных Федеральным законом от 17.08.1995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службой,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14:paraId="72CB0DB0" w14:textId="7EBE0861" w:rsidR="007C1BE0" w:rsidRPr="00422512" w:rsidRDefault="007C1BE0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реестр подконтрольных субъектов в сфер</w:t>
      </w:r>
      <w:r w:rsidR="0018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3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естественных монополий</w:t>
      </w:r>
      <w:r w:rsidR="0018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включены </w:t>
      </w:r>
      <w:r w:rsidR="00FF1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7E05C43" w14:textId="64D5D6EF" w:rsidR="00445384" w:rsidRDefault="00445384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44538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Положением о региональном государственном контроле (надзоре)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сферах естественных монополий</w:t>
      </w:r>
      <w:r w:rsidRPr="0044538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утвержденным постановлением </w:t>
      </w:r>
      <w:r w:rsidRPr="0044538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Правительства Кировской области от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1</w:t>
      </w:r>
      <w:r w:rsidRPr="0044538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.10.2021 № 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54</w:t>
      </w:r>
      <w:r w:rsidRPr="00445384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-П, проведение плановых проверок не предусмотрено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14:paraId="637EC8A3" w14:textId="77777777" w:rsidR="00FF1DF5" w:rsidRDefault="00FF1DF5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FF1DF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по данному виду регионального государственного контроля Службой внеплановые контрольные (надзорные) мероприятия с взаимодействием не проводились в связи отсутствием оснований для их проведения.</w:t>
      </w:r>
    </w:p>
    <w:p w14:paraId="4B17ACD2" w14:textId="5F83EF43" w:rsidR="008B61C6" w:rsidRDefault="008B61C6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мониторинг и систематическое наблюдение за исполнением обязательных требований стандартов раскрытия информации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A092614" w14:textId="77777777" w:rsidR="00FF1DF5" w:rsidRDefault="00FF1DF5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1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году профилактика в службе осуществлялась в соответствии с </w:t>
      </w:r>
      <w:r w:rsidRPr="00E23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профилактики, утвержденной приказом руководителя региональной службы по тарифам Кировской области </w:t>
      </w:r>
      <w:r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  <w:r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</w:t>
      </w:r>
      <w:r w:rsidRPr="0087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</w:t>
      </w:r>
      <w:r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7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азмещенной на официальном сайте в информационно-телекоммуникационной сети «Интернет». </w:t>
      </w:r>
    </w:p>
    <w:p w14:paraId="50774D65" w14:textId="6319E0DB" w:rsidR="00FF1DF5" w:rsidRDefault="00FF1DF5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Службой в рамках регионального государственного контроля (надзора) в области регулирования тарифов </w:t>
      </w:r>
      <w:r w:rsidR="00C92C3E" w:rsidRPr="00C9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Pr="00FF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52CF8F50" w14:textId="640A07C2" w:rsidR="008B61C6" w:rsidRPr="00D536AA" w:rsidRDefault="008B61C6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C9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организацией и осуществлением регионального государственного контроля (надзора). 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005150D7" w14:textId="59CED889" w:rsidR="00BD0805" w:rsidRDefault="00BD0805" w:rsidP="002A2B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FF1DF5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 предостережения о</w:t>
      </w:r>
      <w:r w:rsidR="00B32DA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недопустимости нарушений обязательных требований Службой не объявлялись.</w:t>
      </w:r>
    </w:p>
    <w:p w14:paraId="42C50809" w14:textId="367CDA98" w:rsidR="00592D3F" w:rsidRPr="00422512" w:rsidRDefault="00592D3F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ценностям в 202</w:t>
      </w:r>
      <w:r w:rsidR="006E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917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Кировской области от 2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.10.2021 № 5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 «Об утверждении Положения о региональном государственном контроле (надзоре) 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сферах естественных монополий</w:t>
      </w:r>
      <w:r w:rsidR="00445384" w:rsidRP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4453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 Федерального закона № 248-ФЗ «Профилактика рисков</w:t>
      </w:r>
      <w:r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590598F8" w:rsidR="00592D3F" w:rsidRPr="00422512" w:rsidRDefault="00592D3F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 </w:t>
      </w:r>
      <w:r w:rsid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</w:t>
      </w:r>
      <w:r w:rsidR="006E2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6BFC1A41" w14:textId="167C0AE0" w:rsidR="00592D3F" w:rsidRPr="00422512" w:rsidRDefault="00592D3F" w:rsidP="002A2B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области регулирования тарифов</w:t>
      </w:r>
      <w:r w:rsidR="00186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363BDAF" w14:textId="3BA87ABB" w:rsidR="00AC5F99" w:rsidRDefault="00592D3F" w:rsidP="002A2B6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Программы</w:t>
      </w:r>
    </w:p>
    <w:p w14:paraId="35EFBC25" w14:textId="77777777" w:rsidR="00AC5F99" w:rsidRPr="00AC5F99" w:rsidRDefault="00AC5F99" w:rsidP="002A2B6C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2A016DD2" w:rsidR="00592D3F" w:rsidRPr="00422512" w:rsidRDefault="00592D3F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офилактика рисков причинения вреда (ущерба) охраняемым законом ценностям при осуществлении регионального государственного контроля (надзора) в сфер</w:t>
      </w:r>
      <w:r w:rsidR="00B3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="00D34F05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553DB0BD" w14:textId="6F82FA1E" w:rsidR="00592D3F" w:rsidRPr="00422512" w:rsidRDefault="004310BE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</w:t>
      </w:r>
      <w:r w:rsidR="00D34F05" w:rsidRP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монополий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AB21B9A" w14:textId="4E2455D6" w:rsidR="00592D3F" w:rsidRPr="00422512" w:rsidRDefault="004310BE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3BEC3554" w:rsidR="00592D3F" w:rsidRPr="00422512" w:rsidRDefault="004310BE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35C253E5" w:rsidR="00592D3F" w:rsidRPr="0057087B" w:rsidRDefault="004310BE" w:rsidP="002A2B6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0CE544" w14:textId="1FF4B257" w:rsidR="008D0842" w:rsidRPr="004310BE" w:rsidRDefault="004310BE" w:rsidP="002A2B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58C41999" w14:textId="77777777" w:rsidR="00592D3F" w:rsidRPr="00AE40AA" w:rsidRDefault="00592D3F" w:rsidP="00592D3F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16EFC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2126"/>
        <w:gridCol w:w="1985"/>
      </w:tblGrid>
      <w:tr w:rsidR="008935E2" w:rsidRPr="00E77105" w14:paraId="3FA1DC6D" w14:textId="77777777" w:rsidTr="00092759">
        <w:tc>
          <w:tcPr>
            <w:tcW w:w="709" w:type="dxa"/>
          </w:tcPr>
          <w:p w14:paraId="68F88B8A" w14:textId="77777777" w:rsidR="008935E2" w:rsidRPr="00E77105" w:rsidRDefault="008935E2" w:rsidP="001E5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126" w:type="dxa"/>
          </w:tcPr>
          <w:p w14:paraId="220E1177" w14:textId="77777777" w:rsidR="008935E2" w:rsidRPr="00E77105" w:rsidRDefault="008935E2" w:rsidP="001E55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552" w:type="dxa"/>
          </w:tcPr>
          <w:p w14:paraId="10C0BE07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2126" w:type="dxa"/>
          </w:tcPr>
          <w:p w14:paraId="4D46C412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1E5515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1985" w:type="dxa"/>
          </w:tcPr>
          <w:p w14:paraId="662BF6A4" w14:textId="77777777" w:rsidR="008935E2" w:rsidRPr="00E77105" w:rsidRDefault="008935E2" w:rsidP="001E5515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092759">
        <w:tc>
          <w:tcPr>
            <w:tcW w:w="709" w:type="dxa"/>
          </w:tcPr>
          <w:p w14:paraId="2AFD0935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F921C30" w14:textId="17D03E91" w:rsidR="008935E2" w:rsidRPr="00422512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126" w:type="dxa"/>
            <w:vAlign w:val="center"/>
          </w:tcPr>
          <w:p w14:paraId="63502810" w14:textId="53C82C7F" w:rsidR="008935E2" w:rsidRPr="00D34F05" w:rsidRDefault="008935E2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D34F05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требований,</w:t>
            </w:r>
            <w:r w:rsidRPr="00D34F05">
              <w:rPr>
                <w:rFonts w:ascii="Times New Roman" w:eastAsia="Calibri" w:hAnsi="Times New Roman" w:cs="Times New Roman"/>
                <w:lang w:eastAsia="zh-CN"/>
              </w:rPr>
              <w:t xml:space="preserve"> в </w:t>
            </w:r>
            <w:r w:rsidRPr="00D34F05">
              <w:rPr>
                <w:rFonts w:ascii="Times New Roman" w:eastAsia="Calibri" w:hAnsi="Times New Roman" w:cs="Times New Roman"/>
                <w:lang w:eastAsia="zh-CN"/>
              </w:rPr>
              <w:lastRenderedPageBreak/>
              <w:t>сфер</w:t>
            </w:r>
            <w:r w:rsidR="00B32DA4">
              <w:rPr>
                <w:rFonts w:ascii="Times New Roman" w:eastAsia="Calibri" w:hAnsi="Times New Roman" w:cs="Times New Roman"/>
                <w:lang w:eastAsia="zh-CN"/>
              </w:rPr>
              <w:t>ах</w:t>
            </w:r>
            <w:r w:rsidRPr="00D34F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34F05" w:rsidRPr="00D34F05">
              <w:rPr>
                <w:rFonts w:ascii="Times New Roman" w:eastAsia="Times New Roman" w:hAnsi="Times New Roman" w:cs="Times New Roman"/>
                <w:color w:val="000000"/>
              </w:rPr>
              <w:t>естественных монополий</w:t>
            </w:r>
          </w:p>
        </w:tc>
        <w:tc>
          <w:tcPr>
            <w:tcW w:w="2552" w:type="dxa"/>
            <w:vAlign w:val="center"/>
          </w:tcPr>
          <w:p w14:paraId="151DEAB9" w14:textId="77777777" w:rsidR="008935E2" w:rsidRPr="00422512" w:rsidRDefault="008935E2" w:rsidP="00AC19EA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Федерального закона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№ 248-ФЗ</w:t>
            </w:r>
          </w:p>
        </w:tc>
        <w:tc>
          <w:tcPr>
            <w:tcW w:w="2126" w:type="dxa"/>
            <w:vAlign w:val="center"/>
          </w:tcPr>
          <w:p w14:paraId="37C266D1" w14:textId="77777777" w:rsidR="008935E2" w:rsidRPr="00422512" w:rsidRDefault="008935E2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lastRenderedPageBreak/>
              <w:t>В течение года</w:t>
            </w:r>
          </w:p>
        </w:tc>
        <w:tc>
          <w:tcPr>
            <w:tcW w:w="1985" w:type="dxa"/>
            <w:vAlign w:val="center"/>
          </w:tcPr>
          <w:p w14:paraId="37EF2ED3" w14:textId="70128888" w:rsidR="008935E2" w:rsidRPr="00422512" w:rsidRDefault="008935E2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120CA9D8" w:rsidR="008935E2" w:rsidRPr="00422512" w:rsidRDefault="008935E2" w:rsidP="00AC19EA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бухгалтерского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учета</w:t>
            </w:r>
          </w:p>
        </w:tc>
      </w:tr>
      <w:tr w:rsidR="00AC19EA" w:rsidRPr="00E77105" w14:paraId="5D15D930" w14:textId="77777777" w:rsidTr="00092759">
        <w:trPr>
          <w:trHeight w:val="4215"/>
        </w:trPr>
        <w:tc>
          <w:tcPr>
            <w:tcW w:w="709" w:type="dxa"/>
            <w:vMerge w:val="restart"/>
          </w:tcPr>
          <w:p w14:paraId="4E1445C5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05FFBA3B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AF07B74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DA87638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7EF9072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4676945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BC550AC" w14:textId="77777777" w:rsidR="009175F4" w:rsidRDefault="009175F4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58F7EB04" w:rsidR="00AC19EA" w:rsidRPr="00422512" w:rsidRDefault="00AC19EA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126" w:type="dxa"/>
            <w:vMerge w:val="restart"/>
          </w:tcPr>
          <w:p w14:paraId="37EADA26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E96BA40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454ACD1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180BA4FD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54DF1651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2847FC06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0566671" w14:textId="77777777" w:rsidR="009175F4" w:rsidRDefault="009175F4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01C7A91B" w:rsidR="00AC19EA" w:rsidRPr="00422512" w:rsidRDefault="00AC19EA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практики:</w:t>
            </w:r>
          </w:p>
          <w:p w14:paraId="7F6CA101" w14:textId="77777777" w:rsidR="00AC19EA" w:rsidRPr="00422512" w:rsidRDefault="00AC19EA" w:rsidP="00AC1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0569A60B" w14:textId="58FC7F64" w:rsidR="00AC19EA" w:rsidRDefault="00AC19EA" w:rsidP="00AC19EA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6E26A1">
              <w:rPr>
                <w:rFonts w:ascii="Times New Roman" w:eastAsia="Times New Roman" w:hAnsi="Times New Roman" w:cs="Times New Roman"/>
              </w:rPr>
              <w:t>4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  <w:p w14:paraId="28CAAD1D" w14:textId="3F86BCD0" w:rsidR="00AC19EA" w:rsidRPr="00A40439" w:rsidRDefault="00AC19EA" w:rsidP="00AC19EA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02600C21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7037E28" w14:textId="77777777" w:rsidR="00AC19EA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C0BAD81" w14:textId="77777777" w:rsidR="00AC19EA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04DF3AC6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01.03.20</w:t>
            </w:r>
            <w:r w:rsidR="00FF1DF5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46509661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0D2C3CC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97692B" w14:textId="77777777" w:rsidR="00AC19EA" w:rsidRPr="00422512" w:rsidRDefault="00AC19EA" w:rsidP="00AC19EA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4AA87FE" w14:textId="13D28B0D" w:rsidR="00AC19EA" w:rsidRPr="00422512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4E08A42B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C8EE8FA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18C931D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8F4A6A4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7CA992A7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06C0FE6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AAE5E" w14:textId="77777777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D2FC7EE" w14:textId="75ADB824" w:rsidR="00AC19EA" w:rsidRPr="00422512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AC19EA" w:rsidRPr="00E77105" w14:paraId="60567F29" w14:textId="77777777" w:rsidTr="00092759">
        <w:trPr>
          <w:trHeight w:val="3195"/>
        </w:trPr>
        <w:tc>
          <w:tcPr>
            <w:tcW w:w="709" w:type="dxa"/>
            <w:vMerge/>
          </w:tcPr>
          <w:p w14:paraId="7A162913" w14:textId="77777777" w:rsidR="00AC19EA" w:rsidRPr="00422512" w:rsidRDefault="00AC19EA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F32BC4F" w14:textId="77777777" w:rsidR="00AC19EA" w:rsidRPr="00422512" w:rsidRDefault="00AC19EA" w:rsidP="001E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</w:tcPr>
          <w:p w14:paraId="186EE6A9" w14:textId="5C186A52" w:rsidR="00AC19EA" w:rsidRDefault="00AC19EA" w:rsidP="00D24C0F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</w:t>
            </w:r>
            <w:r w:rsidRPr="00AC19EA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6E26A1">
              <w:rPr>
                <w:rFonts w:ascii="Times New Roman" w:eastAsia="Times New Roman" w:hAnsi="Times New Roman" w:cs="Times New Roman"/>
              </w:rPr>
              <w:t>4</w:t>
            </w:r>
            <w:r w:rsidRPr="00AC19EA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приказом руководителя Службы</w:t>
            </w:r>
          </w:p>
        </w:tc>
        <w:tc>
          <w:tcPr>
            <w:tcW w:w="2126" w:type="dxa"/>
          </w:tcPr>
          <w:p w14:paraId="57721EA3" w14:textId="77777777" w:rsidR="00AC19EA" w:rsidRPr="00422512" w:rsidRDefault="00AC19EA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00E4029" w14:textId="77777777" w:rsidR="00AC19EA" w:rsidRDefault="00AC19EA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DC042C7" w14:textId="100969F7" w:rsidR="00AC19EA" w:rsidRPr="00422512" w:rsidRDefault="00AC19EA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12.03.20</w:t>
            </w:r>
            <w:r w:rsidR="00FF1DF5">
              <w:rPr>
                <w:rFonts w:ascii="Times New Roman" w:eastAsia="Calibri" w:hAnsi="Times New Roman" w:cs="Times New Roman"/>
                <w:shd w:val="clear" w:color="auto" w:fill="FFFFFF"/>
              </w:rPr>
              <w:t>26</w:t>
            </w:r>
          </w:p>
          <w:p w14:paraId="7193B191" w14:textId="77777777" w:rsidR="00AC19EA" w:rsidRPr="00422512" w:rsidRDefault="00AC19EA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549E70F2" w14:textId="77777777" w:rsidR="00AC19EA" w:rsidRDefault="00AC19EA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5FD0AC" w14:textId="77777777" w:rsidR="00AC19EA" w:rsidRDefault="00AC19EA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A0FEF27" w14:textId="142AB41B" w:rsidR="00AC19EA" w:rsidRPr="00422512" w:rsidRDefault="0018651F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  <w:r w:rsidR="00AC19EA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AC19EA" w:rsidRPr="00E77105" w14:paraId="4D3592A1" w14:textId="77777777" w:rsidTr="00092759">
        <w:trPr>
          <w:trHeight w:val="1962"/>
        </w:trPr>
        <w:tc>
          <w:tcPr>
            <w:tcW w:w="709" w:type="dxa"/>
            <w:vMerge/>
          </w:tcPr>
          <w:p w14:paraId="4A7BE96A" w14:textId="77777777" w:rsidR="00AC19EA" w:rsidRPr="00422512" w:rsidRDefault="00AC19EA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0EB6549D" w14:textId="77777777" w:rsidR="00AC19EA" w:rsidRPr="00422512" w:rsidRDefault="00AC19EA" w:rsidP="001E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03D8BAFE" w14:textId="1A72BCD3" w:rsidR="00AC19EA" w:rsidRDefault="00AC19EA" w:rsidP="00D24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A40439">
              <w:rPr>
                <w:rFonts w:ascii="Times New Roman" w:eastAsia="Times New Roman" w:hAnsi="Times New Roman" w:cs="Times New Roman"/>
              </w:rPr>
              <w:t>азмещ</w:t>
            </w:r>
            <w:r>
              <w:rPr>
                <w:rFonts w:ascii="Times New Roman" w:eastAsia="Times New Roman" w:hAnsi="Times New Roman" w:cs="Times New Roman"/>
              </w:rPr>
              <w:t xml:space="preserve">ение </w:t>
            </w:r>
            <w:r w:rsidRPr="00AC19EA">
              <w:rPr>
                <w:rFonts w:ascii="Times New Roman" w:eastAsia="Times New Roman" w:hAnsi="Times New Roman" w:cs="Times New Roman"/>
              </w:rPr>
              <w:t>доклада, содержащего результаты обобщения правоприменительной практики Службы за 202</w:t>
            </w:r>
            <w:r w:rsidR="006E26A1">
              <w:rPr>
                <w:rFonts w:ascii="Times New Roman" w:eastAsia="Times New Roman" w:hAnsi="Times New Roman" w:cs="Times New Roman"/>
              </w:rPr>
              <w:t>4</w:t>
            </w:r>
            <w:r w:rsidRPr="00AC19EA">
              <w:rPr>
                <w:rFonts w:ascii="Times New Roman" w:eastAsia="Times New Roman" w:hAnsi="Times New Roman" w:cs="Times New Roman"/>
              </w:rPr>
              <w:t xml:space="preserve"> год,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40439">
              <w:rPr>
                <w:rFonts w:ascii="Times New Roman" w:eastAsia="Times New Roman" w:hAnsi="Times New Roman" w:cs="Times New Roman"/>
              </w:rPr>
              <w:t>на официальном сайте</w:t>
            </w:r>
          </w:p>
        </w:tc>
        <w:tc>
          <w:tcPr>
            <w:tcW w:w="2126" w:type="dxa"/>
            <w:vAlign w:val="center"/>
          </w:tcPr>
          <w:p w14:paraId="2C8A5F57" w14:textId="58DA19A3" w:rsidR="00AC19EA" w:rsidRPr="00422512" w:rsidRDefault="00AC19EA" w:rsidP="00AC19EA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3 дней со дня утверждения</w:t>
            </w:r>
          </w:p>
        </w:tc>
        <w:tc>
          <w:tcPr>
            <w:tcW w:w="1985" w:type="dxa"/>
            <w:vAlign w:val="center"/>
          </w:tcPr>
          <w:p w14:paraId="537867DE" w14:textId="7CE50135" w:rsidR="00AC19EA" w:rsidRDefault="00AC19EA" w:rsidP="00AC19EA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C19EA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625CDBB9" w14:textId="77777777" w:rsidTr="00B32DA4">
        <w:tc>
          <w:tcPr>
            <w:tcW w:w="709" w:type="dxa"/>
          </w:tcPr>
          <w:p w14:paraId="2A39FDA6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126" w:type="dxa"/>
            <w:vAlign w:val="center"/>
          </w:tcPr>
          <w:p w14:paraId="0DC4A2C6" w14:textId="77777777" w:rsidR="008935E2" w:rsidRPr="00422512" w:rsidRDefault="008935E2" w:rsidP="00B32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552" w:type="dxa"/>
          </w:tcPr>
          <w:p w14:paraId="4BA534C2" w14:textId="77777777" w:rsidR="008935E2" w:rsidRPr="00422512" w:rsidRDefault="001D6CB4" w:rsidP="001D6CB4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2126" w:type="dxa"/>
          </w:tcPr>
          <w:p w14:paraId="1BE5E479" w14:textId="77777777" w:rsidR="008935E2" w:rsidRPr="00422512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497D2E0F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</w:tc>
      </w:tr>
      <w:tr w:rsidR="008935E2" w:rsidRPr="00AE40AA" w14:paraId="32B34535" w14:textId="77777777" w:rsidTr="00B32DA4">
        <w:tc>
          <w:tcPr>
            <w:tcW w:w="709" w:type="dxa"/>
          </w:tcPr>
          <w:p w14:paraId="1F664617" w14:textId="77777777" w:rsidR="008935E2" w:rsidRPr="0042251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126" w:type="dxa"/>
            <w:vAlign w:val="center"/>
          </w:tcPr>
          <w:p w14:paraId="319B99D4" w14:textId="77777777" w:rsidR="008935E2" w:rsidRPr="00422512" w:rsidRDefault="008935E2" w:rsidP="00B32D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</w:t>
            </w:r>
            <w:r w:rsidR="001D6CB4">
              <w:rPr>
                <w:rFonts w:ascii="Times New Roman" w:eastAsia="Times New Roman" w:hAnsi="Times New Roman" w:cs="Times New Roman"/>
              </w:rPr>
              <w:lastRenderedPageBreak/>
              <w:t>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B32DA4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552" w:type="dxa"/>
          </w:tcPr>
          <w:p w14:paraId="100BF75E" w14:textId="77777777" w:rsidR="001D6CB4" w:rsidRDefault="001D6CB4" w:rsidP="001D6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Консультирование осуществляется должностными </w:t>
            </w:r>
            <w:r>
              <w:rPr>
                <w:rFonts w:ascii="Times New Roman" w:hAnsi="Times New Roman" w:cs="Times New Roman"/>
              </w:rPr>
              <w:lastRenderedPageBreak/>
              <w:t>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</w:tcPr>
          <w:p w14:paraId="2836001D" w14:textId="77777777" w:rsidR="008935E2" w:rsidRPr="00422512" w:rsidRDefault="008935E2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 течение года</w:t>
            </w:r>
          </w:p>
          <w:p w14:paraId="3AAF25B6" w14:textId="77777777" w:rsidR="008935E2" w:rsidRPr="00422512" w:rsidRDefault="001D6CB4" w:rsidP="001E5515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основании 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14:paraId="6C469467" w14:textId="67D918D3" w:rsidR="008935E2" w:rsidRDefault="008935E2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Отдел правовой и контрольной 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работы, </w:t>
            </w:r>
          </w:p>
          <w:p w14:paraId="0E9A3285" w14:textId="0BAA3C65" w:rsidR="00FC4510" w:rsidRPr="00422512" w:rsidRDefault="00FC4510" w:rsidP="001E5515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регулирования предприятий жилищно-коммунального комплекса, транспорта и услуг,</w:t>
            </w:r>
          </w:p>
          <w:p w14:paraId="10F22DA9" w14:textId="77777777" w:rsidR="008935E2" w:rsidRDefault="008935E2" w:rsidP="00AC19EA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отдел организационной работы и бухгалтерского учета </w:t>
            </w:r>
          </w:p>
          <w:p w14:paraId="6AB812B9" w14:textId="653A2B20" w:rsidR="00AC19EA" w:rsidRPr="00422512" w:rsidRDefault="00AC19EA" w:rsidP="001E551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AC19EA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(в части организационно-технического обеспечения)</w:t>
            </w:r>
          </w:p>
        </w:tc>
      </w:tr>
      <w:tr w:rsidR="008935E2" w:rsidRPr="00E77105" w14:paraId="00DF4C9D" w14:textId="77777777" w:rsidTr="00B32DA4">
        <w:tc>
          <w:tcPr>
            <w:tcW w:w="709" w:type="dxa"/>
          </w:tcPr>
          <w:p w14:paraId="2272E1B7" w14:textId="77777777" w:rsidR="008935E2" w:rsidRPr="00422512" w:rsidRDefault="008935E2" w:rsidP="001E5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5.</w:t>
            </w:r>
          </w:p>
        </w:tc>
        <w:tc>
          <w:tcPr>
            <w:tcW w:w="2126" w:type="dxa"/>
            <w:vAlign w:val="center"/>
          </w:tcPr>
          <w:p w14:paraId="2C49ECB1" w14:textId="77777777" w:rsidR="008935E2" w:rsidRPr="00422512" w:rsidRDefault="008935E2" w:rsidP="00B32D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552" w:type="dxa"/>
            <w:vAlign w:val="center"/>
          </w:tcPr>
          <w:p w14:paraId="2B0A1985" w14:textId="77777777" w:rsidR="001D6CB4" w:rsidRDefault="001D6CB4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3D81C747" w14:textId="77777777" w:rsidR="008935E2" w:rsidRPr="00422512" w:rsidRDefault="008935E2" w:rsidP="00B32DA4">
            <w:pPr>
              <w:ind w:left="-108" w:right="-146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3FAFBDB7" w14:textId="77777777" w:rsidR="002A2B6C" w:rsidRPr="002A2B6C" w:rsidRDefault="002A2B6C" w:rsidP="002A2B6C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2A2B6C">
              <w:rPr>
                <w:rFonts w:ascii="Times New Roman" w:eastAsia="Calibri" w:hAnsi="Times New Roman" w:cs="Times New Roman"/>
                <w:lang w:eastAsia="zh-CN"/>
              </w:rPr>
              <w:t>В течение года</w:t>
            </w:r>
          </w:p>
          <w:p w14:paraId="36C6BEF8" w14:textId="540DE73A" w:rsidR="008935E2" w:rsidRPr="00422512" w:rsidRDefault="002A2B6C" w:rsidP="002A2B6C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2A2B6C">
              <w:rPr>
                <w:rFonts w:ascii="Times New Roman" w:eastAsia="Calibri" w:hAnsi="Times New Roman" w:cs="Times New Roman"/>
                <w:lang w:eastAsia="zh-CN"/>
              </w:rPr>
              <w:t>(при поступлении заявлений от контролируемых лиц о проведении профилактического визита)</w:t>
            </w:r>
          </w:p>
        </w:tc>
        <w:tc>
          <w:tcPr>
            <w:tcW w:w="1985" w:type="dxa"/>
            <w:vAlign w:val="center"/>
          </w:tcPr>
          <w:p w14:paraId="0198F136" w14:textId="16DEE578" w:rsidR="008935E2" w:rsidRPr="00422512" w:rsidRDefault="008935E2" w:rsidP="00B32DA4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636A522C" w14:textId="77777777" w:rsidR="008935E2" w:rsidRPr="00422512" w:rsidRDefault="008935E2" w:rsidP="00B32D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A24752" w14:textId="77777777" w:rsidR="00592D3F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6CE1D" w14:textId="77777777" w:rsidR="00592D3F" w:rsidRPr="00957387" w:rsidRDefault="00592D3F" w:rsidP="00AC5F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IV. Показатели результативности и</w:t>
      </w:r>
    </w:p>
    <w:p w14:paraId="4B6DE04A" w14:textId="77777777" w:rsidR="00592D3F" w:rsidRPr="00957387" w:rsidRDefault="00592D3F" w:rsidP="00AC5F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514241BC" w14:textId="77777777" w:rsidR="00592D3F" w:rsidRPr="00AE40AA" w:rsidRDefault="00592D3F" w:rsidP="00AC5F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65AEBC" w14:textId="2F714172" w:rsidR="00592D3F" w:rsidRPr="000A2CE5" w:rsidRDefault="00592D3F" w:rsidP="00B32D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43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0015E000" w:rsidR="00592D3F" w:rsidRPr="000A2CE5" w:rsidRDefault="00592D3F" w:rsidP="00B32D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71326962" w:rsidR="00592D3F" w:rsidRPr="000A2CE5" w:rsidRDefault="00592D3F" w:rsidP="00B32D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 w:rsidR="00B3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385D52A8" w:rsidR="00592D3F" w:rsidRPr="000A2CE5" w:rsidRDefault="004310BE" w:rsidP="00B32DA4">
      <w:pPr>
        <w:shd w:val="clear" w:color="auto" w:fill="FFFFFF"/>
        <w:spacing w:after="7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lastRenderedPageBreak/>
        <w:t>___________</w:t>
      </w:r>
    </w:p>
    <w:sectPr w:rsidR="005134DE" w:rsidSect="004310BE">
      <w:headerReference w:type="default" r:id="rId8"/>
      <w:pgSz w:w="11906" w:h="16838"/>
      <w:pgMar w:top="1418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F110C5" w:rsidRDefault="004C3256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F110C5" w:rsidRDefault="004C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F110C5" w:rsidRDefault="004C3256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F110C5" w:rsidRDefault="004C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82054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3F13B0A5" w:rsidR="009908EC" w:rsidRPr="00A021F4" w:rsidRDefault="00354009">
        <w:pPr>
          <w:pStyle w:val="a3"/>
          <w:jc w:val="center"/>
          <w:rPr>
            <w:sz w:val="22"/>
            <w:szCs w:val="22"/>
          </w:rPr>
        </w:pPr>
        <w:r w:rsidRPr="00A021F4">
          <w:rPr>
            <w:sz w:val="22"/>
            <w:szCs w:val="22"/>
          </w:rPr>
          <w:fldChar w:fldCharType="begin"/>
        </w:r>
        <w:r w:rsidRPr="00A021F4">
          <w:rPr>
            <w:sz w:val="22"/>
            <w:szCs w:val="22"/>
          </w:rPr>
          <w:instrText>PAGE   \* MERGEFORMAT</w:instrText>
        </w:r>
        <w:r w:rsidRPr="00A021F4">
          <w:rPr>
            <w:sz w:val="22"/>
            <w:szCs w:val="22"/>
          </w:rPr>
          <w:fldChar w:fldCharType="separate"/>
        </w:r>
        <w:r w:rsidR="00D24C0F">
          <w:rPr>
            <w:noProof/>
            <w:sz w:val="22"/>
            <w:szCs w:val="22"/>
          </w:rPr>
          <w:t>4</w:t>
        </w:r>
        <w:r w:rsidRPr="00A021F4">
          <w:rPr>
            <w:sz w:val="22"/>
            <w:szCs w:val="22"/>
          </w:rPr>
          <w:fldChar w:fldCharType="end"/>
        </w:r>
      </w:p>
    </w:sdtContent>
  </w:sdt>
  <w:p w14:paraId="7FA0AB20" w14:textId="77777777" w:rsidR="009908EC" w:rsidRDefault="009908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35142">
    <w:abstractNumId w:val="0"/>
  </w:num>
  <w:num w:numId="2" w16cid:durableId="156657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262AF"/>
    <w:rsid w:val="00037486"/>
    <w:rsid w:val="00092759"/>
    <w:rsid w:val="00150E3D"/>
    <w:rsid w:val="00171E03"/>
    <w:rsid w:val="0018651F"/>
    <w:rsid w:val="001D6CB4"/>
    <w:rsid w:val="00215D17"/>
    <w:rsid w:val="002505A3"/>
    <w:rsid w:val="002815F5"/>
    <w:rsid w:val="002A2B6C"/>
    <w:rsid w:val="002B42FF"/>
    <w:rsid w:val="00354009"/>
    <w:rsid w:val="0038768B"/>
    <w:rsid w:val="003C487A"/>
    <w:rsid w:val="004310BE"/>
    <w:rsid w:val="00445384"/>
    <w:rsid w:val="00451BAB"/>
    <w:rsid w:val="00496ACB"/>
    <w:rsid w:val="004C3256"/>
    <w:rsid w:val="00511137"/>
    <w:rsid w:val="005134DE"/>
    <w:rsid w:val="00592D3F"/>
    <w:rsid w:val="006E26A1"/>
    <w:rsid w:val="006E5342"/>
    <w:rsid w:val="006F4F7D"/>
    <w:rsid w:val="00787A51"/>
    <w:rsid w:val="007C1BE0"/>
    <w:rsid w:val="007F3A00"/>
    <w:rsid w:val="008429F8"/>
    <w:rsid w:val="008935E2"/>
    <w:rsid w:val="008B61C6"/>
    <w:rsid w:val="008D0842"/>
    <w:rsid w:val="00901A2F"/>
    <w:rsid w:val="009175F4"/>
    <w:rsid w:val="00921A1C"/>
    <w:rsid w:val="00924A5A"/>
    <w:rsid w:val="009373CC"/>
    <w:rsid w:val="009908EC"/>
    <w:rsid w:val="00A021F4"/>
    <w:rsid w:val="00A35FA3"/>
    <w:rsid w:val="00A40439"/>
    <w:rsid w:val="00A46553"/>
    <w:rsid w:val="00AC19EA"/>
    <w:rsid w:val="00AC5F99"/>
    <w:rsid w:val="00B32DA4"/>
    <w:rsid w:val="00BD0805"/>
    <w:rsid w:val="00C92C3E"/>
    <w:rsid w:val="00CA494F"/>
    <w:rsid w:val="00D24C0F"/>
    <w:rsid w:val="00D34F05"/>
    <w:rsid w:val="00E2484F"/>
    <w:rsid w:val="00E250E2"/>
    <w:rsid w:val="00E5367B"/>
    <w:rsid w:val="00F110C5"/>
    <w:rsid w:val="00FC4510"/>
    <w:rsid w:val="00FC5598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2317DF57-7335-4691-AC88-42A54C71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A0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876C-021D-4ECD-9FC6-195CB53E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33</cp:revision>
  <cp:lastPrinted>2023-12-07T11:44:00Z</cp:lastPrinted>
  <dcterms:created xsi:type="dcterms:W3CDTF">2021-09-29T12:52:00Z</dcterms:created>
  <dcterms:modified xsi:type="dcterms:W3CDTF">2025-10-24T06:30:00Z</dcterms:modified>
</cp:coreProperties>
</file>